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22f111e6aa3dc1fc396cdf288fb2781087756f5"/>
    <w:p>
      <w:pPr>
        <w:pStyle w:val="Heading1"/>
      </w:pPr>
      <w:r>
        <w:t xml:space="preserve">Conflicts Search and Corporate Family Tree Record</w:t>
      </w:r>
    </w:p>
    <w:p>
      <w:pPr>
        <w:pStyle w:val="FirstParagraph"/>
      </w:pPr>
      <w:r>
        <w:rPr>
          <w:b/>
          <w:bCs/>
        </w:rPr>
        <w:t xml:space="preserve">ATTICUS DUNDEE LLP — Office of the General Counsel / New Business Intake</w:t>
      </w:r>
    </w:p>
    <w:p>
      <w:pPr>
        <w:pStyle w:val="BodyText"/>
      </w:pPr>
      <w:r>
        <w:t xml:space="preserve">ATTORNEY WORK PRODUCT — PRIVILEGED AND CONFIDENTIAL</w:t>
      </w:r>
      <w:r>
        <w:t xml:space="preserve"> </w:t>
      </w:r>
      <w:r>
        <w:t xml:space="preserve">PREPARED AT THE DIRECTION OF THE GENERAL COUNSEL FOR LOSS PREVENTION PURPOSES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Conflicts record ID</w:t>
            </w:r>
          </w:p>
        </w:tc>
        <w:tc>
          <w:tcPr/>
          <w:p>
            <w:pPr>
              <w:pStyle w:val="Compact"/>
            </w:pPr>
            <w:r>
              <w:t xml:space="preserve">CR-2026-0912-01</w:t>
            </w:r>
          </w:p>
        </w:tc>
      </w:tr>
      <w:tr>
        <w:tc>
          <w:tcPr/>
          <w:p>
            <w:pPr>
              <w:pStyle w:val="Compact"/>
            </w:pPr>
            <w:r>
              <w:t xml:space="preserve">Provisional matter number</w:t>
            </w:r>
          </w:p>
        </w:tc>
        <w:tc>
          <w:tcPr/>
          <w:p>
            <w:pPr>
              <w:pStyle w:val="Compact"/>
            </w:pPr>
            <w:r>
              <w:t xml:space="preserve">26-0912</w:t>
            </w:r>
          </w:p>
        </w:tc>
      </w:tr>
      <w:tr>
        <w:tc>
          <w:tcPr/>
          <w:p>
            <w:pPr>
              <w:pStyle w:val="Compact"/>
            </w:pPr>
            <w:r>
              <w:t xml:space="preserve">Prospective client</w:t>
            </w:r>
          </w:p>
        </w:tc>
        <w:tc>
          <w:tcPr/>
          <w:p>
            <w:pPr>
              <w:pStyle w:val="Compact"/>
            </w:pPr>
            <w:r>
              <w:t xml:space="preserve">TechBridge Solutions, Inc.</w:t>
            </w:r>
          </w:p>
        </w:tc>
      </w:tr>
      <w:tr>
        <w:tc>
          <w:tcPr/>
          <w:p>
            <w:pPr>
              <w:pStyle w:val="Compact"/>
            </w:pPr>
            <w:r>
              <w:t xml:space="preserve">Matter description</w:t>
            </w:r>
          </w:p>
        </w:tc>
        <w:tc>
          <w:tcPr/>
          <w:p>
            <w:pPr>
              <w:pStyle w:val="Compact"/>
            </w:pPr>
            <w:r>
              <w:t xml:space="preserve">Sell-side representation in a controlled auction process</w:t>
            </w:r>
          </w:p>
        </w:tc>
      </w:tr>
      <w:tr>
        <w:tc>
          <w:tcPr/>
          <w:p>
            <w:pPr>
              <w:pStyle w:val="Compact"/>
            </w:pPr>
            <w:r>
              <w:t xml:space="preserve">Requesting attorney</w:t>
            </w:r>
          </w:p>
        </w:tc>
        <w:tc>
          <w:tcPr/>
          <w:p>
            <w:pPr>
              <w:pStyle w:val="Compact"/>
            </w:pPr>
            <w:r>
              <w:t xml:space="preserve">Douglas H. Wentz, Partner, Corporate and Transactions</w:t>
            </w:r>
          </w:p>
        </w:tc>
      </w:tr>
      <w:tr>
        <w:tc>
          <w:tcPr/>
          <w:p>
            <w:pPr>
              <w:pStyle w:val="Compact"/>
            </w:pPr>
            <w:r>
              <w:t xml:space="preserve">Prepared by</w:t>
            </w:r>
          </w:p>
        </w:tc>
        <w:tc>
          <w:tcPr/>
          <w:p>
            <w:pPr>
              <w:pStyle w:val="Compact"/>
            </w:pPr>
            <w:r>
              <w:t xml:space="preserve">Priya Raghunathan, Senior Conflicts Analyst, New Business Intake</w:t>
            </w:r>
          </w:p>
        </w:tc>
      </w:tr>
      <w:tr>
        <w:tc>
          <w:tcPr/>
          <w:p>
            <w:pPr>
              <w:pStyle w:val="Compact"/>
            </w:pPr>
            <w:r>
              <w:t xml:space="preserve">Reviewed by</w:t>
            </w:r>
          </w:p>
        </w:tc>
        <w:tc>
          <w:tcPr/>
          <w:p>
            <w:pPr>
              <w:pStyle w:val="Compact"/>
            </w:pPr>
            <w:r>
              <w:t xml:space="preserve">Rosalind M. Achebe, General Counsel and Loss Prevention Partner</w:t>
            </w:r>
          </w:p>
        </w:tc>
      </w:tr>
      <w:tr>
        <w:tc>
          <w:tcPr/>
          <w:p>
            <w:pPr>
              <w:pStyle w:val="Compact"/>
            </w:pPr>
            <w:r>
              <w:t xml:space="preserve">Date request received</w:t>
            </w:r>
          </w:p>
        </w:tc>
        <w:tc>
          <w:tcPr/>
          <w:p>
            <w:pPr>
              <w:pStyle w:val="Compact"/>
            </w:pPr>
            <w:r>
              <w:t xml:space="preserve">July 20, 2026</w:t>
            </w:r>
          </w:p>
        </w:tc>
      </w:tr>
      <w:tr>
        <w:tc>
          <w:tcPr/>
          <w:p>
            <w:pPr>
              <w:pStyle w:val="Compact"/>
            </w:pPr>
            <w:r>
              <w:t xml:space="preserve">Date search completed</w:t>
            </w:r>
          </w:p>
        </w:tc>
        <w:tc>
          <w:tcPr/>
          <w:p>
            <w:pPr>
              <w:pStyle w:val="Compact"/>
            </w:pPr>
            <w:r>
              <w:t xml:space="preserve">July 23, 2026</w:t>
            </w:r>
          </w:p>
        </w:tc>
      </w:tr>
      <w:tr>
        <w:tc>
          <w:tcPr/>
          <w:p>
            <w:pPr>
              <w:pStyle w:val="Compact"/>
            </w:pPr>
            <w:r>
              <w:t xml:space="preserve">Date record closed</w:t>
            </w:r>
          </w:p>
        </w:tc>
        <w:tc>
          <w:tcPr/>
          <w:p>
            <w:pPr>
              <w:pStyle w:val="Compact"/>
            </w:pPr>
            <w:r>
              <w:t xml:space="preserve">July 30, 2026</w:t>
            </w:r>
          </w:p>
        </w:tc>
      </w:tr>
      <w:tr>
        <w:tc>
          <w:tcPr/>
          <w:p>
            <w:pPr>
              <w:pStyle w:val="Compact"/>
            </w:pPr>
            <w:r>
              <w:t xml:space="preserve">Current status</w:t>
            </w:r>
          </w:p>
        </w:tc>
        <w:tc>
          <w:tcPr/>
          <w:p>
            <w:pPr>
              <w:pStyle w:val="Compact"/>
            </w:pPr>
            <w:r>
              <w:t xml:space="preserve">CLEARED SUBJECT TO CONDITIONS (see Part 8)</w:t>
            </w:r>
          </w:p>
        </w:tc>
      </w:tr>
      <w:tr>
        <w:tc>
          <w:tcPr/>
          <w:p>
            <w:pPr>
              <w:pStyle w:val="Compact"/>
            </w:pPr>
            <w:r>
              <w:t xml:space="preserve">Retention</w:t>
            </w:r>
          </w:p>
        </w:tc>
        <w:tc>
          <w:tcPr/>
          <w:p>
            <w:pPr>
              <w:pStyle w:val="Compact"/>
            </w:pPr>
            <w:r>
              <w:t xml:space="preserve">Permanent; retained with the matter file under the firm’s records schedule</w:t>
            </w:r>
          </w:p>
        </w:tc>
      </w:tr>
    </w:tbl>
    <w:p>
      <w:r>
        <w:pict>
          <v:rect style="width:0;height:1.5pt" o:hralign="center" o:hrstd="t" o:hr="t"/>
        </w:pict>
      </w:r>
    </w:p>
    <w:bookmarkStart w:id="9" w:name="request-summary"/>
    <w:p>
      <w:pPr>
        <w:pStyle w:val="Heading2"/>
      </w:pPr>
      <w:r>
        <w:t xml:space="preserve">1. Request Summary</w:t>
      </w:r>
    </w:p>
    <w:p>
      <w:pPr>
        <w:pStyle w:val="FirstParagraph"/>
      </w:pPr>
      <w:r>
        <w:t xml:space="preserve">On July 20, 2026, Douglas H. Wentz requested a full conflicts search in connection with a proposed engagement by TechBridge Solutions, Inc. (</w:t>
      </w:r>
      <w:r>
        <w:t xml:space="preserve">“TechBridge”</w:t>
      </w:r>
      <w:r>
        <w:t xml:space="preserve"> </w:t>
      </w:r>
      <w:r>
        <w:t xml:space="preserve">or the</w:t>
      </w:r>
      <w:r>
        <w:t xml:space="preserve"> </w:t>
      </w:r>
      <w:r>
        <w:t xml:space="preserve">“Prospective Client”</w:t>
      </w:r>
      <w:r>
        <w:t xml:space="preserve">), a Delaware corporation, to act as company counsel in a controlled auction process for the sale of all outstanding equity of TechBridge. No buyer has been selected. The bidder list is expected to be finalized in late September 2026, and this record must be re-run against the bidder list before any bidder-specific work begins (see Part 9, Item 3).</w:t>
      </w:r>
    </w:p>
    <w:p>
      <w:pPr>
        <w:pStyle w:val="BodyText"/>
      </w:pPr>
      <w:r>
        <w:t xml:space="preserve">The requesting attorney identified an anticipated fee of approximately $1.4 million and an anticipated signing date in the first quarter of 2027.</w:t>
      </w:r>
    </w:p>
    <w:p>
      <w:pPr>
        <w:pStyle w:val="BodyText"/>
      </w:pPr>
      <w:r>
        <w:t xml:space="preserve">Because TechBridge is sponsor-backed and because the requesting attorney disclosed at intake that TechBridge’s founder holds a board seat at an existing firm client, this request was routed to the enhanced review track under Section 4.2 of the firm’s New Business Intake Policy rather than the standard automated clearance track.</w:t>
      </w:r>
    </w:p>
    <w:bookmarkEnd w:id="9"/>
    <w:bookmarkStart w:id="10" w:name="prospective-client-and-engagement-scope"/>
    <w:p>
      <w:pPr>
        <w:pStyle w:val="Heading2"/>
      </w:pPr>
      <w:r>
        <w:t xml:space="preserve">2. Prospective Client and Engagement Scope</w:t>
      </w:r>
    </w:p>
    <w:p>
      <w:pPr>
        <w:pStyle w:val="FirstParagraph"/>
      </w:pPr>
      <w:r>
        <w:rPr>
          <w:b/>
          <w:bCs/>
        </w:rPr>
        <w:t xml:space="preserve">Prospective Client.</w:t>
      </w:r>
      <w:r>
        <w:t xml:space="preserve"> </w:t>
      </w:r>
      <w:r>
        <w:t xml:space="preserve">TechBridge Solutions, Inc., a Delaware corporation, headquartered in Bellview, Calloway. Formed as TechBridge Solutions LLC (Delaware) on March 4, 2016; converted to a Delaware corporation on August 12, 2021 in connection with the sponsor’s initial investment. Approximately 340 employees. Business: workflow automation software for regulated industries, sold principally to healthcare and financial-services buyers.</w:t>
      </w:r>
    </w:p>
    <w:p>
      <w:pPr>
        <w:pStyle w:val="BodyText"/>
      </w:pPr>
      <w:r>
        <w:rPr>
          <w:b/>
          <w:bCs/>
        </w:rPr>
        <w:t xml:space="preserve">Scope of proposed engagement.</w:t>
      </w:r>
      <w:r>
        <w:t xml:space="preserve"> </w:t>
      </w:r>
      <w:r>
        <w:t xml:space="preserve">Company-side representation in a sale process, including preparation of the data room, review and negotiation of the purchase agreement and ancillary documents, regulatory analysis and filings, and closing mechanics. The scope does not include representation of any individual seller, any equityholder in its individual capacity, or any member of management with respect to compensation or rollover arrangements.</w:t>
      </w:r>
    </w:p>
    <w:p>
      <w:pPr>
        <w:pStyle w:val="BodyText"/>
      </w:pPr>
      <w:r>
        <w:rPr>
          <w:b/>
          <w:bCs/>
        </w:rPr>
        <w:t xml:space="preserve">Client identity.</w:t>
      </w:r>
      <w:r>
        <w:t xml:space="preserve"> </w:t>
      </w:r>
      <w:r>
        <w:t xml:space="preserve">Under Model Rule 1.13(a) and the corresponding rule in each jurisdiction in which the firm maintains an office, the client is the corporation. It is not the sponsor, not the funds, not the founder, and not any equityholder. Part 8 requires that this be stated expressly in the engagement letter, and that a separate non-representation acknowledgement be delivered to the founder.</w:t>
      </w:r>
    </w:p>
    <w:bookmarkEnd w:id="10"/>
    <w:bookmarkStart w:id="15" w:name="disclosed-ownership-structure"/>
    <w:p>
      <w:pPr>
        <w:pStyle w:val="Heading2"/>
      </w:pPr>
      <w:r>
        <w:t xml:space="preserve">3. Disclosed Ownership Structure</w:t>
      </w:r>
    </w:p>
    <w:p>
      <w:pPr>
        <w:pStyle w:val="FirstParagraph"/>
      </w:pPr>
      <w:r>
        <w:t xml:space="preserve">The following structure was reported by the requesting attorney at intake and independently verified against the sources listed in Part 4. Ownership is stated on a fully diluted basis as of June 30, 2026.</w:t>
      </w:r>
    </w:p>
    <w:bookmarkStart w:id="11" w:name="narrative"/>
    <w:p>
      <w:pPr>
        <w:pStyle w:val="Heading3"/>
      </w:pPr>
      <w:r>
        <w:t xml:space="preserve">3.1 Narrative</w:t>
      </w:r>
    </w:p>
    <w:p>
      <w:pPr>
        <w:pStyle w:val="FirstParagraph"/>
      </w:pPr>
      <w:r>
        <w:t xml:space="preserve">TechBridge Solutions, Inc. is majority-owned by a private equity fund, Meridian Crest Partners Fund III, L.P. The remaining equity is held by a founder vehicle, Ferreira Family Holdings, LLC. TechBridge in turn holds one dormant foreign subsidiary.</w:t>
      </w:r>
    </w:p>
    <w:p>
      <w:pPr>
        <w:pStyle w:val="BodyText"/>
      </w:pPr>
      <w:r>
        <w:t xml:space="preserve">The fund’s general partner is Meridian Crest GP III, LLC, which is majority-owned by Meridian Crest Capital Management, LLC. Meridian Crest Capital Management, LLC is also the investment manager of an earlier vintage fund, Meridian Crest Partners Fund II, L.P. That earlier fund, together with a co-investment stake held by Fund III itself, controls CarePeak Technologies, Inc., an existing client of this firm.</w:t>
      </w:r>
    </w:p>
    <w:p>
      <w:pPr>
        <w:pStyle w:val="BodyText"/>
      </w:pPr>
      <w:r>
        <w:t xml:space="preserve">Separately, the founder of TechBridge sits on the board of directors of Atticus Dundee Inc., the firm’s largest client by revenue.</w:t>
      </w:r>
    </w:p>
    <w:bookmarkEnd w:id="11"/>
    <w:bookmarkStart w:id="12" w:name="ownership-schedule"/>
    <w:p>
      <w:pPr>
        <w:pStyle w:val="Heading3"/>
      </w:pPr>
      <w:r>
        <w:t xml:space="preserve">3.2 Ownership schedule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Holder</w:t>
            </w:r>
          </w:p>
        </w:tc>
        <w:tc>
          <w:tcPr/>
          <w:p>
            <w:pPr>
              <w:pStyle w:val="Compact"/>
            </w:pPr>
            <w:r>
              <w:t xml:space="preserve">Held entity</w:t>
            </w:r>
          </w:p>
        </w:tc>
        <w:tc>
          <w:tcPr/>
          <w:p>
            <w:pPr>
              <w:pStyle w:val="Compact"/>
            </w:pPr>
            <w:r>
              <w:t xml:space="preserve">Interest</w:t>
            </w:r>
          </w:p>
        </w:tc>
        <w:tc>
          <w:tcPr/>
          <w:p>
            <w:pPr>
              <w:pStyle w:val="Compact"/>
            </w:pPr>
            <w:r>
              <w:t xml:space="preserve">Basis of verification</w:t>
            </w:r>
          </w:p>
        </w:tc>
      </w:tr>
      <w:tr>
        <w:tc>
          <w:tcPr/>
          <w:p>
            <w:pPr>
              <w:pStyle w:val="Compact"/>
            </w:pPr>
            <w:r>
              <w:t xml:space="preserve">1</w:t>
            </w:r>
          </w:p>
        </w:tc>
        <w:tc>
          <w:tcPr/>
          <w:p>
            <w:pPr>
              <w:pStyle w:val="Compact"/>
            </w:pPr>
            <w:r>
              <w:t xml:space="preserve">TechBridge Solutions, Inc. (co-114)</w:t>
            </w:r>
          </w:p>
        </w:tc>
        <w:tc>
          <w:tcPr/>
          <w:p>
            <w:pPr>
              <w:pStyle w:val="Compact"/>
            </w:pPr>
            <w:r>
              <w:t xml:space="preserve">TechBridge Solutions Ltd. (Ireland)</w:t>
            </w:r>
          </w:p>
        </w:tc>
        <w:tc>
          <w:tcPr/>
          <w:p>
            <w:pPr>
              <w:pStyle w:val="Compact"/>
            </w:pPr>
            <w:r>
              <w:t xml:space="preserve">100%</w:t>
            </w:r>
          </w:p>
        </w:tc>
        <w:tc>
          <w:tcPr/>
          <w:p>
            <w:pPr>
              <w:pStyle w:val="Compact"/>
            </w:pPr>
            <w:r>
              <w:t xml:space="preserve">Irish CRO extract dated 2026-07-21; TechBridge officer’s certificate dated 2026-07-22</w:t>
            </w:r>
          </w:p>
        </w:tc>
      </w:tr>
      <w:tr>
        <w:tc>
          <w:tcPr/>
          <w:p>
            <w:pPr>
              <w:pStyle w:val="Compact"/>
            </w:pPr>
            <w:r>
              <w:t xml:space="preserve">2</w:t>
            </w:r>
          </w:p>
        </w:tc>
        <w:tc>
          <w:tcPr/>
          <w:p>
            <w:pPr>
              <w:pStyle w:val="Compact"/>
            </w:pPr>
            <w:r>
              <w:t xml:space="preserve">Meridian Crest Partners Fund III, L.P.</w:t>
            </w:r>
          </w:p>
        </w:tc>
        <w:tc>
          <w:tcPr/>
          <w:p>
            <w:pPr>
              <w:pStyle w:val="Compact"/>
            </w:pPr>
            <w:r>
              <w:t xml:space="preserve">TechBridge Solutions, Inc. (co-114)</w:t>
            </w:r>
          </w:p>
        </w:tc>
        <w:tc>
          <w:tcPr/>
          <w:p>
            <w:pPr>
              <w:pStyle w:val="Compact"/>
            </w:pPr>
            <w:r>
              <w:t xml:space="preserve">80%</w:t>
            </w:r>
          </w:p>
        </w:tc>
        <w:tc>
          <w:tcPr/>
          <w:p>
            <w:pPr>
              <w:pStyle w:val="Compact"/>
            </w:pPr>
            <w:r>
              <w:t xml:space="preserve">Capitalization table certified by TechBridge CFO, 2026-07-22</w:t>
            </w:r>
          </w:p>
        </w:tc>
      </w:tr>
      <w:tr>
        <w:tc>
          <w:tcPr/>
          <w:p>
            <w:pPr>
              <w:pStyle w:val="Compact"/>
            </w:pPr>
            <w:r>
              <w:t xml:space="preserve">2</w:t>
            </w:r>
          </w:p>
        </w:tc>
        <w:tc>
          <w:tcPr/>
          <w:p>
            <w:pPr>
              <w:pStyle w:val="Compact"/>
            </w:pPr>
            <w:r>
              <w:t xml:space="preserve">Ferreira Family Holdings, LLC</w:t>
            </w:r>
          </w:p>
        </w:tc>
        <w:tc>
          <w:tcPr/>
          <w:p>
            <w:pPr>
              <w:pStyle w:val="Compact"/>
            </w:pPr>
            <w:r>
              <w:t xml:space="preserve">TechBridge Solutions, Inc. (co-114)</w:t>
            </w:r>
          </w:p>
        </w:tc>
        <w:tc>
          <w:tcPr/>
          <w:p>
            <w:pPr>
              <w:pStyle w:val="Compact"/>
            </w:pPr>
            <w:r>
              <w:t xml:space="preserve">20%</w:t>
            </w:r>
          </w:p>
        </w:tc>
        <w:tc>
          <w:tcPr/>
          <w:p>
            <w:pPr>
              <w:pStyle w:val="Compact"/>
            </w:pPr>
            <w:r>
              <w:t xml:space="preserve">Same</w:t>
            </w:r>
          </w:p>
        </w:tc>
      </w:tr>
      <w:tr>
        <w:tc>
          <w:tcPr/>
          <w:p>
            <w:pPr>
              <w:pStyle w:val="Compact"/>
            </w:pPr>
            <w:r>
              <w:t xml:space="preserve">3</w:t>
            </w:r>
          </w:p>
        </w:tc>
        <w:tc>
          <w:tcPr/>
          <w:p>
            <w:pPr>
              <w:pStyle w:val="Compact"/>
            </w:pPr>
            <w:r>
              <w:t xml:space="preserve">Meridian Crest Capital Management, LLC</w:t>
            </w:r>
          </w:p>
        </w:tc>
        <w:tc>
          <w:tcPr/>
          <w:p>
            <w:pPr>
              <w:pStyle w:val="Compact"/>
            </w:pPr>
            <w:r>
              <w:t xml:space="preserve">Meridian Crest GP III, LLC (general partner of Fund III)</w:t>
            </w:r>
          </w:p>
        </w:tc>
        <w:tc>
          <w:tcPr/>
          <w:p>
            <w:pPr>
              <w:pStyle w:val="Compact"/>
            </w:pPr>
            <w:r>
              <w:t xml:space="preserve">70%</w:t>
            </w:r>
          </w:p>
        </w:tc>
        <w:tc>
          <w:tcPr/>
          <w:p>
            <w:pPr>
              <w:pStyle w:val="Compact"/>
            </w:pPr>
            <w:r>
              <w:t xml:space="preserve">Delaware LLC agreement, First Amended and Restated, dated 2023-01-31, provided by sponsor counsel</w:t>
            </w:r>
          </w:p>
        </w:tc>
      </w:tr>
      <w:tr>
        <w:tc>
          <w:tcPr/>
          <w:p>
            <w:pPr>
              <w:pStyle w:val="Compact"/>
            </w:pPr>
            <w:r>
              <w:t xml:space="preserve">4</w:t>
            </w:r>
          </w:p>
        </w:tc>
        <w:tc>
          <w:tcPr/>
          <w:p>
            <w:pPr>
              <w:pStyle w:val="Compact"/>
            </w:pPr>
            <w:r>
              <w:t xml:space="preserve">Meridian Crest Partners Fund II, L.P.</w:t>
            </w:r>
          </w:p>
        </w:tc>
        <w:tc>
          <w:tcPr/>
          <w:p>
            <w:pPr>
              <w:pStyle w:val="Compact"/>
            </w:pPr>
            <w:r>
              <w:t xml:space="preserve">CarePeak Technologies, Inc. (co-115)</w:t>
            </w:r>
          </w:p>
        </w:tc>
        <w:tc>
          <w:tcPr/>
          <w:p>
            <w:pPr>
              <w:pStyle w:val="Compact"/>
            </w:pPr>
            <w:r>
              <w:t xml:space="preserve">60%</w:t>
            </w:r>
          </w:p>
        </w:tc>
        <w:tc>
          <w:tcPr/>
          <w:p>
            <w:pPr>
              <w:pStyle w:val="Compact"/>
            </w:pPr>
            <w:r>
              <w:t xml:space="preserve">Firm’s own client file 22-0418; stockholders agreement dated 2022-06-14</w:t>
            </w:r>
          </w:p>
        </w:tc>
      </w:tr>
      <w:tr>
        <w:tc>
          <w:tcPr/>
          <w:p>
            <w:pPr>
              <w:pStyle w:val="Compact"/>
            </w:pPr>
            <w:r>
              <w:t xml:space="preserve">4</w:t>
            </w:r>
          </w:p>
        </w:tc>
        <w:tc>
          <w:tcPr/>
          <w:p>
            <w:pPr>
              <w:pStyle w:val="Compact"/>
            </w:pPr>
            <w:r>
              <w:t xml:space="preserve">Meridian Crest Partners Fund III, L.P.</w:t>
            </w:r>
          </w:p>
        </w:tc>
        <w:tc>
          <w:tcPr/>
          <w:p>
            <w:pPr>
              <w:pStyle w:val="Compact"/>
            </w:pPr>
            <w:r>
              <w:t xml:space="preserve">CarePeak Technologies, Inc. (co-115)</w:t>
            </w:r>
          </w:p>
        </w:tc>
        <w:tc>
          <w:tcPr/>
          <w:p>
            <w:pPr>
              <w:pStyle w:val="Compact"/>
            </w:pPr>
            <w:r>
              <w:t xml:space="preserve">30%</w:t>
            </w:r>
          </w:p>
        </w:tc>
        <w:tc>
          <w:tcPr/>
          <w:p>
            <w:pPr>
              <w:pStyle w:val="Compact"/>
            </w:pPr>
            <w:r>
              <w:t xml:space="preserve">Same; Fund III entered as a co-investor in the 2024 recapitalization</w:t>
            </w:r>
          </w:p>
        </w:tc>
      </w:tr>
      <w:tr>
        <w:tc>
          <w:tcPr/>
          <w:p>
            <w:pPr>
              <w:pStyle w:val="Compact"/>
            </w:pPr>
            <w:r>
              <w:t xml:space="preserve">4</w:t>
            </w:r>
          </w:p>
        </w:tc>
        <w:tc>
          <w:tcPr/>
          <w:p>
            <w:pPr>
              <w:pStyle w:val="Compact"/>
            </w:pPr>
            <w:r>
              <w:t xml:space="preserve">CarePeak management holders (various)</w:t>
            </w:r>
          </w:p>
        </w:tc>
        <w:tc>
          <w:tcPr/>
          <w:p>
            <w:pPr>
              <w:pStyle w:val="Compact"/>
            </w:pPr>
            <w:r>
              <w:t xml:space="preserve">CarePeak Technologies, Inc. (co-115)</w:t>
            </w:r>
          </w:p>
        </w:tc>
        <w:tc>
          <w:tcPr/>
          <w:p>
            <w:pPr>
              <w:pStyle w:val="Compact"/>
            </w:pPr>
            <w:r>
              <w:t xml:space="preserve">10%</w:t>
            </w:r>
          </w:p>
        </w:tc>
        <w:tc>
          <w:tcPr/>
          <w:p>
            <w:pPr>
              <w:pStyle w:val="Compact"/>
            </w:pPr>
            <w:r>
              <w:t xml:space="preserve">Same</w:t>
            </w:r>
          </w:p>
        </w:tc>
      </w:tr>
    </w:tbl>
    <w:p>
      <w:pPr>
        <w:pStyle w:val="BodyText"/>
      </w:pPr>
      <w:r>
        <w:t xml:space="preserve">Meridian Crest Capital Management, LLC is the investment manager of both Meridian Crest Partners Fund II, L.P. and Meridian Crest Partners Fund III, L.P. It does not hold equity in either fund’s portfolio companies directly. Evelyn K. Brandt is the managing partner of Meridian Crest Capital Management, LLC and sits on the boards of both TechBridge and CarePeak.</w:t>
      </w:r>
    </w:p>
    <w:bookmarkEnd w:id="12"/>
    <w:bookmarkStart w:id="13" w:name="individual-relationships"/>
    <w:p>
      <w:pPr>
        <w:pStyle w:val="Heading3"/>
      </w:pPr>
      <w:r>
        <w:t xml:space="preserve">3.3 Individual relationships</w:t>
      </w:r>
    </w:p>
    <w:p>
      <w:pPr>
        <w:pStyle w:val="FirstParagraph"/>
      </w:pPr>
      <w:r>
        <w:t xml:space="preserve">Marcus D. Ferreira is the founder and Chief Executive Officer of TechBridge Solutions, Inc. and the sole managing member of Ferreira Family Holdings, LLC. Mr. Ferreira has served since February 13, 2026 as a non-employee director of Atticus Dundee Inc. (co-002), which is a current client of the firm and the firm’s largest client by 2025 billings. Mr. Ferreira serves on the audit committee of Atticus Dundee Inc. He does not serve on its nominating or compensation committee.</w:t>
      </w:r>
    </w:p>
    <w:p>
      <w:pPr>
        <w:pStyle w:val="BodyText"/>
      </w:pPr>
      <w:r>
        <w:t xml:space="preserve">Mr. Ferreira is not himself a client of the firm and is not proposed to become one.</w:t>
      </w:r>
    </w:p>
    <w:bookmarkEnd w:id="13"/>
    <w:bookmarkStart w:id="14" w:name="entities-that-will-not-be-represented"/>
    <w:p>
      <w:pPr>
        <w:pStyle w:val="Heading3"/>
      </w:pPr>
      <w:r>
        <w:t xml:space="preserve">3.4 Entities that will not be represented</w:t>
      </w:r>
    </w:p>
    <w:p>
      <w:pPr>
        <w:pStyle w:val="FirstParagraph"/>
      </w:pPr>
      <w:r>
        <w:t xml:space="preserve">The following entities appear in the structure above and are</w:t>
      </w:r>
      <w:r>
        <w:t xml:space="preserve"> </w:t>
      </w:r>
      <w:r>
        <w:rPr>
          <w:b/>
          <w:bCs/>
        </w:rPr>
        <w:t xml:space="preserve">not</w:t>
      </w:r>
      <w:r>
        <w:t xml:space="preserve"> </w:t>
      </w:r>
      <w:r>
        <w:t xml:space="preserve">proposed clients in matter 26-0912: Meridian Crest Capital Management, LLC; Meridian Crest GP III, LLC; Meridian Crest Partners Fund II, L.P.; Meridian Crest Partners Fund III, L.P.; Ferreira Family Holdings, LLC; and TechBridge Solutions Ltd. (Ireland). TechBridge Solutions Ltd. is within the corporate family and will be treated as a client affiliate for purposes of Part 7.3 only.</w:t>
      </w:r>
    </w:p>
    <w:bookmarkEnd w:id="14"/>
    <w:bookmarkEnd w:id="15"/>
    <w:bookmarkStart w:id="16" w:name="search-parameters-and-sources"/>
    <w:p>
      <w:pPr>
        <w:pStyle w:val="Heading2"/>
      </w:pPr>
      <w:r>
        <w:t xml:space="preserve">4. Search Parameters and Sources</w:t>
      </w:r>
    </w:p>
    <w:p>
      <w:pPr>
        <w:pStyle w:val="FirstParagraph"/>
      </w:pPr>
      <w:r>
        <w:rPr>
          <w:b/>
          <w:bCs/>
        </w:rPr>
        <w:t xml:space="preserve">Databases searched.</w:t>
      </w:r>
    </w:p>
    <w:p>
      <w:pPr>
        <w:pStyle w:val="Compact"/>
        <w:numPr>
          <w:ilvl w:val="0"/>
          <w:numId w:val="1001"/>
        </w:numPr>
      </w:pPr>
      <w:r>
        <w:t xml:space="preserve">Firm client and matter index (all offices, all years, active and closed), 41,208 party records.</w:t>
      </w:r>
    </w:p>
    <w:p>
      <w:pPr>
        <w:pStyle w:val="Compact"/>
        <w:numPr>
          <w:ilvl w:val="0"/>
          <w:numId w:val="1001"/>
        </w:numPr>
      </w:pPr>
      <w:r>
        <w:t xml:space="preserve">Firm adverse-party index, 96,517 party records.</w:t>
      </w:r>
    </w:p>
    <w:p>
      <w:pPr>
        <w:pStyle w:val="Compact"/>
        <w:numPr>
          <w:ilvl w:val="0"/>
          <w:numId w:val="1001"/>
        </w:numPr>
      </w:pPr>
      <w:r>
        <w:t xml:space="preserve">Prospective-client and declined-matter log (2019 to present).</w:t>
      </w:r>
    </w:p>
    <w:p>
      <w:pPr>
        <w:pStyle w:val="Compact"/>
        <w:numPr>
          <w:ilvl w:val="0"/>
          <w:numId w:val="1001"/>
        </w:numPr>
      </w:pPr>
      <w:r>
        <w:t xml:space="preserve">Firm lateral-hire disclosure register.</w:t>
      </w:r>
    </w:p>
    <w:p>
      <w:pPr>
        <w:pStyle w:val="Compact"/>
        <w:numPr>
          <w:ilvl w:val="0"/>
          <w:numId w:val="1001"/>
        </w:numPr>
      </w:pPr>
      <w:r>
        <w:t xml:space="preserve">Firm personal-interest register (director, officer, trustee, and material-investment disclosures by partners and employees, Rule 1.7(a)(2) surface).</w:t>
      </w:r>
    </w:p>
    <w:p>
      <w:pPr>
        <w:pStyle w:val="Compact"/>
        <w:numPr>
          <w:ilvl w:val="0"/>
          <w:numId w:val="1001"/>
        </w:numPr>
      </w:pPr>
      <w:r>
        <w:t xml:space="preserve">Public corporate registries: Delaware Division of Corporations; Irish Companies Registration Office.</w:t>
      </w:r>
    </w:p>
    <w:p>
      <w:pPr>
        <w:pStyle w:val="FirstParagraph"/>
      </w:pPr>
      <w:r>
        <w:rPr>
          <w:b/>
          <w:bCs/>
        </w:rPr>
        <w:t xml:space="preserve">Names screened.</w:t>
      </w:r>
      <w:r>
        <w:t xml:space="preserve"> </w:t>
      </w:r>
      <w:r>
        <w:t xml:space="preserve">Fourteen names were submitted: the seven entities named in Part 3, plus the six existing and former names disclosed by the Prospective Client (including</w:t>
      </w:r>
      <w:r>
        <w:t xml:space="preserve"> </w:t>
      </w:r>
      <w:r>
        <w:t xml:space="preserve">“TechBridge Solutions LLC”</w:t>
      </w:r>
      <w:r>
        <w:t xml:space="preserve"> </w:t>
      </w:r>
      <w:r>
        <w:t xml:space="preserve">and</w:t>
      </w:r>
      <w:r>
        <w:t xml:space="preserve"> </w:t>
      </w:r>
      <w:r>
        <w:t xml:space="preserve">“TB Workflow Systems”</w:t>
      </w:r>
      <w:r>
        <w:t xml:space="preserve">), plus</w:t>
      </w:r>
      <w:r>
        <w:t xml:space="preserve"> </w:t>
      </w:r>
      <w:r>
        <w:t xml:space="preserve">“Marcus D. Ferreira.”</w:t>
      </w:r>
    </w:p>
    <w:p>
      <w:pPr>
        <w:pStyle w:val="BodyText"/>
      </w:pPr>
      <w:r>
        <w:rPr>
          <w:b/>
          <w:bCs/>
        </w:rPr>
        <w:t xml:space="preserve">Matching method.</w:t>
      </w:r>
      <w:r>
        <w:t xml:space="preserve"> </w:t>
      </w:r>
      <w:r>
        <w:t xml:space="preserve">The index applies a two-pass screen. Pass one is an exact match on the normalized name (uppercase, punctuation and diacritics stripped, entity suffix retained). Pass two is a fuzzy match reporting normalized similarity, computed as one minus the edit distance between the two normalized names divided by the length of the longer normalized name, expressed on a 0 to 100 scale. Under Section 6.3 of the New Business Intake Policy, any pass-two result at or above 85.0 is routed to a human analyst and may not be auto-cleared. Results below 85.0 are logged and auto-cleared, and the log is sampled quarterly.</w:t>
      </w:r>
    </w:p>
    <w:p>
      <w:pPr>
        <w:pStyle w:val="BodyText"/>
      </w:pPr>
      <w:r>
        <w:rPr>
          <w:b/>
          <w:bCs/>
        </w:rPr>
        <w:t xml:space="preserve">Search window.</w:t>
      </w:r>
      <w:r>
        <w:t xml:space="preserve"> </w:t>
      </w:r>
      <w:r>
        <w:t xml:space="preserve">No date limit. Closed matters are included without cutoff because the firm’s former-client obligations under Model Rule 1.9 do not expire.</w:t>
      </w:r>
    </w:p>
    <w:bookmarkEnd w:id="16"/>
    <w:bookmarkStart w:id="21" w:name="screen-results"/>
    <w:p>
      <w:pPr>
        <w:pStyle w:val="Heading2"/>
      </w:pPr>
      <w:r>
        <w:t xml:space="preserve">5. Screen Results</w:t>
      </w:r>
    </w:p>
    <w:bookmarkStart w:id="17" w:name="exact-matches"/>
    <w:p>
      <w:pPr>
        <w:pStyle w:val="Heading3"/>
      </w:pPr>
      <w:r>
        <w:t xml:space="preserve">5.1 Exact matches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Screened name</w:t>
            </w:r>
          </w:p>
        </w:tc>
        <w:tc>
          <w:tcPr/>
          <w:p>
            <w:pPr>
              <w:pStyle w:val="Compact"/>
            </w:pPr>
            <w:r>
              <w:t xml:space="preserve">Index hit</w:t>
            </w:r>
          </w:p>
        </w:tc>
        <w:tc>
          <w:tcPr/>
          <w:p>
            <w:pPr>
              <w:pStyle w:val="Compact"/>
            </w:pPr>
            <w:r>
              <w:t xml:space="preserve">Relationship to firm</w:t>
            </w:r>
          </w:p>
        </w:tc>
        <w:tc>
          <w:tcPr/>
          <w:p>
            <w:pPr>
              <w:pStyle w:val="Compact"/>
            </w:pPr>
            <w:r>
              <w:t xml:space="preserve">Matters</w:t>
            </w:r>
          </w:p>
        </w:tc>
      </w:tr>
      <w:tr>
        <w:tc>
          <w:tcPr/>
          <w:p>
            <w:pPr>
              <w:pStyle w:val="Compact"/>
            </w:pPr>
            <w:r>
              <w:t xml:space="preserve">E-1</w:t>
            </w:r>
          </w:p>
        </w:tc>
        <w:tc>
          <w:tcPr/>
          <w:p>
            <w:pPr>
              <w:pStyle w:val="Compact"/>
            </w:pPr>
            <w:r>
              <w:t xml:space="preserve">CarePeak Technologies, Inc.</w:t>
            </w:r>
          </w:p>
        </w:tc>
        <w:tc>
          <w:tcPr/>
          <w:p>
            <w:pPr>
              <w:pStyle w:val="Compact"/>
            </w:pPr>
            <w:r>
              <w:t xml:space="preserve">CarePeak Technologies, Inc.</w:t>
            </w:r>
          </w:p>
        </w:tc>
        <w:tc>
          <w:tcPr/>
          <w:p>
            <w:pPr>
              <w:pStyle w:val="Compact"/>
            </w:pPr>
            <w:r>
              <w:t xml:space="preserve">Current client</w:t>
            </w:r>
          </w:p>
        </w:tc>
        <w:tc>
          <w:tcPr/>
          <w:p>
            <w:pPr>
              <w:pStyle w:val="Compact"/>
            </w:pPr>
            <w:r>
              <w:t xml:space="preserve">22-0418 (corporate), 24-1187 (AML compliance program), 26-0331 (compliance program refresh)</w:t>
            </w:r>
          </w:p>
        </w:tc>
      </w:tr>
      <w:tr>
        <w:tc>
          <w:tcPr/>
          <w:p>
            <w:pPr>
              <w:pStyle w:val="Compact"/>
            </w:pPr>
            <w:r>
              <w:t xml:space="preserve">E-2</w:t>
            </w:r>
          </w:p>
        </w:tc>
        <w:tc>
          <w:tcPr/>
          <w:p>
            <w:pPr>
              <w:pStyle w:val="Compact"/>
            </w:pPr>
            <w:r>
              <w:t xml:space="preserve">Atticus Dundee Inc.</w:t>
            </w:r>
          </w:p>
        </w:tc>
        <w:tc>
          <w:tcPr/>
          <w:p>
            <w:pPr>
              <w:pStyle w:val="Compact"/>
            </w:pPr>
            <w:r>
              <w:t xml:space="preserve">Atticus Dundee Inc.</w:t>
            </w:r>
          </w:p>
        </w:tc>
        <w:tc>
          <w:tcPr/>
          <w:p>
            <w:pPr>
              <w:pStyle w:val="Compact"/>
            </w:pPr>
            <w:r>
              <w:t xml:space="preserve">Current client</w:t>
            </w:r>
          </w:p>
        </w:tc>
        <w:tc>
          <w:tcPr/>
          <w:p>
            <w:pPr>
              <w:pStyle w:val="Compact"/>
            </w:pPr>
            <w:r>
              <w:t xml:space="preserve">47 open matters across five practice groups</w:t>
            </w:r>
          </w:p>
        </w:tc>
      </w:tr>
      <w:tr>
        <w:tc>
          <w:tcPr/>
          <w:p>
            <w:pPr>
              <w:pStyle w:val="Compact"/>
            </w:pPr>
            <w:r>
              <w:t xml:space="preserve">E-3</w:t>
            </w:r>
          </w:p>
        </w:tc>
        <w:tc>
          <w:tcPr/>
          <w:p>
            <w:pPr>
              <w:pStyle w:val="Compact"/>
            </w:pPr>
            <w:r>
              <w:t xml:space="preserve">Meridian Crest Partners Fund II, L.P.</w:t>
            </w:r>
          </w:p>
        </w:tc>
        <w:tc>
          <w:tcPr/>
          <w:p>
            <w:pPr>
              <w:pStyle w:val="Compact"/>
            </w:pPr>
            <w:r>
              <w:t xml:space="preserve">Meridian Crest Partners Fund II, L.P.</w:t>
            </w:r>
          </w:p>
        </w:tc>
        <w:tc>
          <w:tcPr/>
          <w:p>
            <w:pPr>
              <w:pStyle w:val="Compact"/>
            </w:pPr>
            <w:r>
              <w:t xml:space="preserve">Non-client party of record</w:t>
            </w:r>
          </w:p>
        </w:tc>
        <w:tc>
          <w:tcPr/>
          <w:p>
            <w:pPr>
              <w:pStyle w:val="Compact"/>
            </w:pPr>
            <w:r>
              <w:t xml:space="preserve">Appears as a signatory party in 22-0418</w:t>
            </w:r>
          </w:p>
        </w:tc>
      </w:tr>
    </w:tbl>
    <w:bookmarkEnd w:id="17"/>
    <w:bookmarkStart w:id="18" w:name="fuzzy-matches-routed-to-human-review"/>
    <w:p>
      <w:pPr>
        <w:pStyle w:val="Heading3"/>
      </w:pPr>
      <w:r>
        <w:t xml:space="preserve">5.2 Fuzzy matches routed to human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Screened name</w:t>
            </w:r>
          </w:p>
        </w:tc>
        <w:tc>
          <w:tcPr/>
          <w:p>
            <w:pPr>
              <w:pStyle w:val="Compact"/>
            </w:pPr>
            <w:r>
              <w:t xml:space="preserve">Index entry</w:t>
            </w:r>
          </w:p>
        </w:tc>
        <w:tc>
          <w:tcPr/>
          <w:p>
            <w:pPr>
              <w:pStyle w:val="Compact"/>
            </w:pPr>
            <w:r>
              <w:t xml:space="preserve">Similarity</w:t>
            </w:r>
          </w:p>
        </w:tc>
        <w:tc>
          <w:tcPr/>
          <w:p>
            <w:pPr>
              <w:pStyle w:val="Compact"/>
            </w:pPr>
            <w:r>
              <w:t xml:space="preserve">Analyst disposition</w:t>
            </w:r>
          </w:p>
        </w:tc>
      </w:tr>
      <w:tr>
        <w:tc>
          <w:tcPr/>
          <w:p>
            <w:pPr>
              <w:pStyle w:val="Compact"/>
            </w:pPr>
            <w:r>
              <w:t xml:space="preserve">F-1</w:t>
            </w:r>
          </w:p>
        </w:tc>
        <w:tc>
          <w:tcPr/>
          <w:p>
            <w:pPr>
              <w:pStyle w:val="Compact"/>
            </w:pPr>
            <w:r>
              <w:t xml:space="preserve">TECHBRIDGE SOLUTIONS INC</w:t>
            </w:r>
          </w:p>
        </w:tc>
        <w:tc>
          <w:tcPr/>
          <w:p>
            <w:pPr>
              <w:pStyle w:val="Compact"/>
            </w:pPr>
            <w:r>
              <w:t xml:space="preserve">TECHBRIDGE SOLUTIONS LTD</w:t>
            </w:r>
          </w:p>
        </w:tc>
        <w:tc>
          <w:tcPr/>
          <w:p>
            <w:pPr>
              <w:pStyle w:val="Compact"/>
            </w:pPr>
            <w:r>
              <w:t xml:space="preserve">87.5</w:t>
            </w:r>
          </w:p>
        </w:tc>
        <w:tc>
          <w:tcPr/>
          <w:p>
            <w:pPr>
              <w:pStyle w:val="Compact"/>
            </w:pPr>
            <w:r>
              <w:rPr>
                <w:b/>
                <w:bCs/>
              </w:rPr>
              <w:t xml:space="preserve">MATCH — RELATED ENTITY.</w:t>
            </w:r>
            <w:r>
              <w:t xml:space="preserve"> </w:t>
            </w:r>
            <w:r>
              <w:t xml:space="preserve">Index entry is TechBridge Solutions Ltd. (Ireland), the Prospective Client’s wholly owned subsidiary. The firm’s Dublin office represented that entity in matter 23-0774, a closed employment matter. Escalated; see Part 7.3.</w:t>
            </w:r>
          </w:p>
        </w:tc>
      </w:tr>
      <w:tr>
        <w:tc>
          <w:tcPr/>
          <w:p>
            <w:pPr>
              <w:pStyle w:val="Compact"/>
            </w:pPr>
            <w:r>
              <w:t xml:space="preserve">F-2</w:t>
            </w:r>
          </w:p>
        </w:tc>
        <w:tc>
          <w:tcPr/>
          <w:p>
            <w:pPr>
              <w:pStyle w:val="Compact"/>
            </w:pPr>
            <w:r>
              <w:t xml:space="preserve">TECHBRIDGE SOLUTIONS INC</w:t>
            </w:r>
          </w:p>
        </w:tc>
        <w:tc>
          <w:tcPr/>
          <w:p>
            <w:pPr>
              <w:pStyle w:val="Compact"/>
            </w:pPr>
            <w:r>
              <w:t xml:space="preserve">TECHBRIDGE SOLUTIONS LLC</w:t>
            </w:r>
          </w:p>
        </w:tc>
        <w:tc>
          <w:tcPr/>
          <w:p>
            <w:pPr>
              <w:pStyle w:val="Compact"/>
            </w:pPr>
            <w:r>
              <w:t xml:space="preserve">91.7</w:t>
            </w:r>
          </w:p>
        </w:tc>
        <w:tc>
          <w:tcPr/>
          <w:p>
            <w:pPr>
              <w:pStyle w:val="Compact"/>
            </w:pPr>
            <w:r>
              <w:rPr>
                <w:b/>
                <w:bCs/>
              </w:rPr>
              <w:t xml:space="preserve">MATCH — SAME ENTITY, PRIOR NAME.</w:t>
            </w:r>
            <w:r>
              <w:t xml:space="preserve"> </w:t>
            </w:r>
            <w:r>
              <w:t xml:space="preserve">Predecessor name of the Prospective Client before its 2021 conversion. No matters found under the predecessor name. No further action.</w:t>
            </w:r>
          </w:p>
        </w:tc>
      </w:tr>
      <w:tr>
        <w:tc>
          <w:tcPr/>
          <w:p>
            <w:pPr>
              <w:pStyle w:val="Compact"/>
            </w:pPr>
            <w:r>
              <w:t xml:space="preserve">F-3</w:t>
            </w:r>
          </w:p>
        </w:tc>
        <w:tc>
          <w:tcPr/>
          <w:p>
            <w:pPr>
              <w:pStyle w:val="Compact"/>
            </w:pPr>
            <w:r>
              <w:t xml:space="preserve">MERIDIAN CREST CAPITAL MANAGEMENT LLC</w:t>
            </w:r>
          </w:p>
        </w:tc>
        <w:tc>
          <w:tcPr/>
          <w:p>
            <w:pPr>
              <w:pStyle w:val="Compact"/>
            </w:pPr>
            <w:r>
              <w:t xml:space="preserve">MERIDIAN CREST CAPITAL MANAGEMENT GROUP</w:t>
            </w:r>
          </w:p>
        </w:tc>
        <w:tc>
          <w:tcPr/>
          <w:p>
            <w:pPr>
              <w:pStyle w:val="Compact"/>
            </w:pPr>
            <w:r>
              <w:t xml:space="preserve">87.2</w:t>
            </w:r>
          </w:p>
        </w:tc>
        <w:tc>
          <w:tcPr/>
          <w:p>
            <w:pPr>
              <w:pStyle w:val="Compact"/>
            </w:pPr>
            <w:r>
              <w:rPr>
                <w:b/>
                <w:bCs/>
              </w:rPr>
              <w:t xml:space="preserve">NO MATCH.</w:t>
            </w:r>
            <w:r>
              <w:t xml:space="preserve"> </w:t>
            </w:r>
            <w:r>
              <w:t xml:space="preserve">Index entry is a Nevada entity with a different registered agent, different principals, and no common ownership. Verified against Nevada registry, 2026-07-23. Auto-clear not permitted at this score; cleared by analyst with documented basis.</w:t>
            </w:r>
          </w:p>
        </w:tc>
      </w:tr>
      <w:tr>
        <w:tc>
          <w:tcPr/>
          <w:p>
            <w:pPr>
              <w:pStyle w:val="Compact"/>
            </w:pPr>
            <w:r>
              <w:t xml:space="preserve">F-4</w:t>
            </w:r>
          </w:p>
        </w:tc>
        <w:tc>
          <w:tcPr/>
          <w:p>
            <w:pPr>
              <w:pStyle w:val="Compact"/>
            </w:pPr>
            <w:r>
              <w:t xml:space="preserve">MERIDIAN CREST GP III, LLC</w:t>
            </w:r>
          </w:p>
        </w:tc>
        <w:tc>
          <w:tcPr/>
          <w:p>
            <w:pPr>
              <w:pStyle w:val="Compact"/>
            </w:pPr>
            <w:r>
              <w:t xml:space="preserve">MERIDIAN CREST GP II LLC</w:t>
            </w:r>
          </w:p>
        </w:tc>
        <w:tc>
          <w:tcPr/>
          <w:p>
            <w:pPr>
              <w:pStyle w:val="Compact"/>
            </w:pPr>
            <w:r>
              <w:t xml:space="preserve">96.0</w:t>
            </w:r>
          </w:p>
        </w:tc>
        <w:tc>
          <w:tcPr/>
          <w:p>
            <w:pPr>
              <w:pStyle w:val="Compact"/>
            </w:pPr>
            <w:r>
              <w:rPr>
                <w:b/>
                <w:bCs/>
              </w:rPr>
              <w:t xml:space="preserve">MATCH — AFFILIATE.</w:t>
            </w:r>
            <w:r>
              <w:t xml:space="preserve"> </w:t>
            </w:r>
            <w:r>
              <w:t xml:space="preserve">General partner of Fund II. No firm matters. Logged; no further action.</w:t>
            </w:r>
          </w:p>
        </w:tc>
      </w:tr>
    </w:tbl>
    <w:p>
      <w:pPr>
        <w:pStyle w:val="BodyText"/>
      </w:pPr>
      <w:r>
        <w:t xml:space="preserve">Note on F-1: the exact-match pass returned nothing for this entity because the screened name and the index name differ in entity suffix and jurisdiction. The relationship was surfaced only by the fuzzy pass. The analyst has opened a policy ticket (POL-2026-088) asking whether foreign-suffix normalization should be added to the pass-one rule set.</w:t>
      </w:r>
    </w:p>
    <w:bookmarkEnd w:id="18"/>
    <w:bookmarkStart w:id="19" w:name="below-threshold-results"/>
    <w:p>
      <w:pPr>
        <w:pStyle w:val="Heading3"/>
      </w:pPr>
      <w:r>
        <w:t xml:space="preserve">5.3 Below-threshold results</w:t>
      </w:r>
    </w:p>
    <w:p>
      <w:pPr>
        <w:pStyle w:val="FirstParagraph"/>
      </w:pPr>
      <w:r>
        <w:t xml:space="preserve">Eleven pass-two results scored below 85.0 and were auto-cleared, the highest being MERIDIAN CREST REALTY LLC at 76.9. The auto-clear log is retained with this record.</w:t>
      </w:r>
    </w:p>
    <w:bookmarkEnd w:id="19"/>
    <w:bookmarkStart w:id="20" w:name="personal-interest-register"/>
    <w:p>
      <w:pPr>
        <w:pStyle w:val="Heading3"/>
      </w:pPr>
      <w:r>
        <w:t xml:space="preserve">5.4 Personal-interest register</w:t>
      </w:r>
    </w:p>
    <w:p>
      <w:pPr>
        <w:pStyle w:val="FirstParagraph"/>
      </w:pPr>
      <w:r>
        <w:t xml:space="preserve">One hit. Partner Marguerite Oyelaran, relationship partner for CarePeak Technologies, Inc., holds a limited partner interest of less than 0.1% in Meridian Crest Partners Fund II, L.P., disclosed on her 2024, 2025, and 2026 annual certifications. The interest is passive and non-controlling. See Part 7.4.</w:t>
      </w:r>
    </w:p>
    <w:bookmarkEnd w:id="20"/>
    <w:bookmarkEnd w:id="21"/>
    <w:bookmarkStart w:id="22" w:name="verified-corporate-family-tree"/>
    <w:p>
      <w:pPr>
        <w:pStyle w:val="Heading2"/>
      </w:pPr>
      <w:r>
        <w:t xml:space="preserve">6. Verified Corporate Family Tree</w:t>
      </w:r>
    </w:p>
    <w:p>
      <w:pPr>
        <w:pStyle w:val="SourceCode"/>
      </w:pPr>
      <w:r>
        <w:rPr>
          <w:rStyle w:val="VerbatimChar"/>
        </w:rPr>
        <w:t xml:space="preserve">Meridian Crest Capital Management, LLC  (investment manager, Funds II and III)</w:t>
      </w:r>
      <w:r>
        <w:br/>
      </w:r>
      <w:r>
        <w:rPr>
          <w:rStyle w:val="VerbatimChar"/>
        </w:rPr>
        <w:t xml:space="preserve"> |</w:t>
      </w:r>
      <w:r>
        <w:br/>
      </w:r>
      <w:r>
        <w:rPr>
          <w:rStyle w:val="VerbatimChar"/>
        </w:rPr>
        <w:t xml:space="preserve"> |-- 70% --&gt; Meridian Crest GP III, LLC  (general partner of Fund III)</w:t>
      </w:r>
      <w:r>
        <w:br/>
      </w:r>
      <w:r>
        <w:rPr>
          <w:rStyle w:val="VerbatimChar"/>
        </w:rPr>
        <w:t xml:space="preserve"> |             |</w:t>
      </w:r>
      <w:r>
        <w:br/>
      </w:r>
      <w:r>
        <w:rPr>
          <w:rStyle w:val="VerbatimChar"/>
        </w:rPr>
        <w:t xml:space="preserve"> |             +-- general partner of --&gt; Meridian Crest Partners Fund III, L.P.</w:t>
      </w:r>
      <w:r>
        <w:br/>
      </w:r>
      <w:r>
        <w:rPr>
          <w:rStyle w:val="VerbatimChar"/>
        </w:rPr>
        <w:t xml:space="preserve"> |                                          |</w:t>
      </w:r>
      <w:r>
        <w:br/>
      </w:r>
      <w:r>
        <w:rPr>
          <w:rStyle w:val="VerbatimChar"/>
        </w:rPr>
        <w:t xml:space="preserve"> |                                          |-- 80% --&gt; TECHBRIDGE SOLUTIONS, INC.  [co-114]</w:t>
      </w:r>
      <w:r>
        <w:br/>
      </w:r>
      <w:r>
        <w:rPr>
          <w:rStyle w:val="VerbatimChar"/>
        </w:rPr>
        <w:t xml:space="preserve"> |                                          |             (PROSPECTIVE CLIENT)</w:t>
      </w:r>
      <w:r>
        <w:br/>
      </w:r>
      <w:r>
        <w:rPr>
          <w:rStyle w:val="VerbatimChar"/>
        </w:rPr>
        <w:t xml:space="preserve"> |                                          |             |</w:t>
      </w:r>
      <w:r>
        <w:br/>
      </w:r>
      <w:r>
        <w:rPr>
          <w:rStyle w:val="VerbatimChar"/>
        </w:rPr>
        <w:t xml:space="preserve"> |                                          |             +-- 100% --&gt; TechBridge Solutions Ltd. (Ireland)</w:t>
      </w:r>
      <w:r>
        <w:br/>
      </w:r>
      <w:r>
        <w:rPr>
          <w:rStyle w:val="VerbatimChar"/>
        </w:rPr>
        <w:t xml:space="preserve"> |                                          |</w:t>
      </w:r>
      <w:r>
        <w:br/>
      </w:r>
      <w:r>
        <w:rPr>
          <w:rStyle w:val="VerbatimChar"/>
        </w:rPr>
        <w:t xml:space="preserve"> |                                          +-- 30% --&gt; CarePeak Technologies, Inc.  [co-115]</w:t>
      </w:r>
      <w:r>
        <w:br/>
      </w:r>
      <w:r>
        <w:rPr>
          <w:rStyle w:val="VerbatimChar"/>
        </w:rPr>
        <w:t xml:space="preserve"> |                                                        (CURRENT FIRM CLIENT)</w:t>
      </w:r>
      <w:r>
        <w:br/>
      </w:r>
      <w:r>
        <w:rPr>
          <w:rStyle w:val="VerbatimChar"/>
        </w:rPr>
        <w:t xml:space="preserve"> |</w:t>
      </w:r>
      <w:r>
        <w:br/>
      </w:r>
      <w:r>
        <w:rPr>
          <w:rStyle w:val="VerbatimChar"/>
        </w:rPr>
        <w:t xml:space="preserve"> +-- investment manager of --&gt; Meridian Crest Partners Fund II, L.P.</w:t>
      </w:r>
      <w:r>
        <w:br/>
      </w:r>
      <w:r>
        <w:rPr>
          <w:rStyle w:val="VerbatimChar"/>
        </w:rPr>
        <w:t xml:space="preserve">                                 |</w:t>
      </w:r>
      <w:r>
        <w:br/>
      </w:r>
      <w:r>
        <w:rPr>
          <w:rStyle w:val="VerbatimChar"/>
        </w:rPr>
        <w:t xml:space="preserve">                                 +-- 60% --&gt; CarePeak Technologies, Inc.  [co-115]</w:t>
      </w:r>
      <w:r>
        <w:br/>
      </w:r>
      <w:r>
        <w:rPr>
          <w:rStyle w:val="VerbatimChar"/>
        </w:rPr>
        <w:t xml:space="preserve">                                               (CURRENT FIRM CLIENT)</w:t>
      </w:r>
      <w:r>
        <w:br/>
      </w:r>
      <w:r>
        <w:br/>
      </w:r>
      <w:r>
        <w:rPr>
          <w:rStyle w:val="VerbatimChar"/>
        </w:rPr>
        <w:t xml:space="preserve">Ferreira Family Holdings, LLC</w:t>
      </w:r>
      <w:r>
        <w:br/>
      </w:r>
      <w:r>
        <w:rPr>
          <w:rStyle w:val="VerbatimChar"/>
        </w:rPr>
        <w:t xml:space="preserve"> |</w:t>
      </w:r>
      <w:r>
        <w:br/>
      </w:r>
      <w:r>
        <w:rPr>
          <w:rStyle w:val="VerbatimChar"/>
        </w:rPr>
        <w:t xml:space="preserve"> +-- 20% --&gt; TECHBRIDGE SOLUTIONS, INC.  [co-114]</w:t>
      </w:r>
      <w:r>
        <w:br/>
      </w:r>
      <w:r>
        <w:br/>
      </w:r>
      <w:r>
        <w:rPr>
          <w:rStyle w:val="VerbatimChar"/>
        </w:rPr>
        <w:t xml:space="preserve">Marcus D. Ferreira  (founder and CEO, TechBridge; sole managing member, Ferreira Family Holdings)</w:t>
      </w:r>
      <w:r>
        <w:br/>
      </w:r>
      <w:r>
        <w:rPr>
          <w:rStyle w:val="VerbatimChar"/>
        </w:rPr>
        <w:t xml:space="preserve"> |</w:t>
      </w:r>
      <w:r>
        <w:br/>
      </w:r>
      <w:r>
        <w:rPr>
          <w:rStyle w:val="VerbatimChar"/>
        </w:rPr>
        <w:t xml:space="preserve"> +-- non-employee director, audit committee --&gt; ATTICUS DUNDEE INC.  [co-002]</w:t>
      </w:r>
      <w:r>
        <w:br/>
      </w:r>
      <w:r>
        <w:rPr>
          <w:rStyle w:val="VerbatimChar"/>
        </w:rPr>
        <w:t xml:space="preserve">                                                  (CURRENT FIRM CLIENT)</w:t>
      </w:r>
    </w:p>
    <w:bookmarkEnd w:id="22"/>
    <w:bookmarkStart w:id="29" w:name="conflicts-analysis"/>
    <w:p>
      <w:pPr>
        <w:pStyle w:val="Heading2"/>
      </w:pPr>
      <w:r>
        <w:t xml:space="preserve">7. Conflicts Analysis</w:t>
      </w:r>
    </w:p>
    <w:bookmarkStart w:id="23" w:name="framework"/>
    <w:p>
      <w:pPr>
        <w:pStyle w:val="Heading3"/>
      </w:pPr>
      <w:r>
        <w:t xml:space="preserve">7.1 Framework</w:t>
      </w:r>
    </w:p>
    <w:p>
      <w:pPr>
        <w:pStyle w:val="FirstParagraph"/>
      </w:pPr>
      <w:r>
        <w:t xml:space="preserve">Three questions govern. First, is any person or entity the firm proposes to represent directly adverse to a current client, or is there a significant risk that the representation will be materially limited by a responsibility to a current client, a former client, a third person, or a personal interest of a lawyer, under Model Rule 1.7(a)? Second, does any former representation of the firm bear a substantial relationship to this matter under Model Rule 1.9(a)? Third, is any individual lawyer’s disqualification imputed to the firm under Model Rule 1.10(a)?</w:t>
      </w:r>
    </w:p>
    <w:p>
      <w:pPr>
        <w:pStyle w:val="BodyText"/>
      </w:pPr>
      <w:r>
        <w:t xml:space="preserve">Corporate affiliation alone does not make an affiliate a client. Under ABA Formal Opinion 95-390 and Model Rule 1.7, cmt. [34], a lawyer who represents a corporation does not thereby represent its parent, its subsidiaries, or its sister companies unless the circumstances create a reasonable expectation to the contrary, the entities operate as a single unit, or the engagement agreement so provides. The analysis below applies that principle rather than treating the whole Meridian Crest structure as one client.</w:t>
      </w:r>
    </w:p>
    <w:bookmarkEnd w:id="23"/>
    <w:bookmarkStart w:id="24" w:name="X707445c0a55947de8a3ca730e98a89bc42fe32b"/>
    <w:p>
      <w:pPr>
        <w:pStyle w:val="Heading3"/>
      </w:pPr>
      <w:r>
        <w:t xml:space="preserve">7.2 Common-owner analysis: CarePeak Technologies, Inc. (co-115)</w:t>
      </w:r>
    </w:p>
    <w:p>
      <w:pPr>
        <w:pStyle w:val="FirstParagraph"/>
      </w:pPr>
      <w:r>
        <w:t xml:space="preserve">CarePeak is a current client. Fund II holds 60% of CarePeak and Fund III holds 30%. Fund III holds 80% of the Prospective Client. The common link is Meridian Crest Capital Management, LLC, which manages both funds and controls the general partner of Fund III.</w:t>
      </w:r>
    </w:p>
    <w:p>
      <w:pPr>
        <w:pStyle w:val="BodyText"/>
      </w:pPr>
      <w:r>
        <w:t xml:space="preserve">This is not a direct adversity conflict. The firm is not proposing to act adverse to CarePeak; CarePeak is neither a party to the auction nor, as reported, a prospective bidder. The Rule 1.7(a)(1) analysis is therefore negative on the facts as disclosed.</w:t>
      </w:r>
    </w:p>
    <w:p>
      <w:pPr>
        <w:pStyle w:val="BodyText"/>
      </w:pPr>
      <w:r>
        <w:t xml:space="preserve">The Rule 1.7(a)(2) question is closer and turns on two facts. First, Evelyn K. Brandt sits on both boards and is the principal decision-maker for the sponsor on both investments. Second, the auction process will generate valuation, customer-concentration, and product-roadmap information about TechBridge that a lawyer holding it could not readily quarantine from advice given to CarePeak on adjacent healthcare-technology matters. The risk is a material-limitation risk running to information flow and to the firm’s incentive to preserve the sponsor relationship, not a risk of adversity between the two portfolio companies today.</w:t>
      </w:r>
    </w:p>
    <w:p>
      <w:pPr>
        <w:pStyle w:val="BodyText"/>
      </w:pPr>
      <w:r>
        <w:t xml:space="preserve">Two facts materially change this analysis if they occur, and both are made conditions in Part 8: CarePeak joining the bidder list, and any CarePeak-TechBridge commercial negotiation opening during the auction period.</w:t>
      </w:r>
    </w:p>
    <w:p>
      <w:pPr>
        <w:pStyle w:val="BodyText"/>
      </w:pPr>
      <w:r>
        <w:rPr>
          <w:b/>
          <w:bCs/>
        </w:rPr>
        <w:t xml:space="preserve">Conclusion.</w:t>
      </w:r>
      <w:r>
        <w:t xml:space="preserve"> </w:t>
      </w:r>
      <w:r>
        <w:t xml:space="preserve">Not a present Rule 1.7(a)(1) conflict. A Rule 1.7(a)(2) risk that is consentable and that the firm should manage with an information screen and a written waiver from CarePeak.</w:t>
      </w:r>
    </w:p>
    <w:bookmarkEnd w:id="24"/>
    <w:bookmarkStart w:id="25" w:name="X9dc16a36e9f9ce0600db0b7733441c2e827e55a"/>
    <w:p>
      <w:pPr>
        <w:pStyle w:val="Heading3"/>
      </w:pPr>
      <w:r>
        <w:t xml:space="preserve">7.3 Former-client analysis: TechBridge Solutions Ltd. (matter 23-0774)</w:t>
      </w:r>
    </w:p>
    <w:p>
      <w:pPr>
        <w:pStyle w:val="FirstParagraph"/>
      </w:pPr>
      <w:r>
        <w:t xml:space="preserve">The firm’s Dublin office represented TechBridge Solutions Ltd. in a closed employment matter, opened February 6, 2023 and closed December 19, 2023. The former client is a member of the Prospective Client’s own corporate family, and the proposed representation is not adverse to it. Model Rule 1.9(a) is not triggered, because the firm would not be representing a person whose interests are materially adverse to the former client.</w:t>
      </w:r>
    </w:p>
    <w:p>
      <w:pPr>
        <w:pStyle w:val="BodyText"/>
      </w:pPr>
      <w:r>
        <w:t xml:space="preserve">The material point is not a conflict but a records point. Information the firm holds from matter 23-0774 concerning the Irish entity’s employment liabilities is confidential information of a former client under Model Rule 1.9(c). Because the buyer will diligence that entity, the deal team must not use or disclose 23-0774 material except to the extent the Prospective Client, as parent and as the successor in interest to the corporate family’s information, authorizes in writing. Condition C-4 in Part 8 addresses this.</w:t>
      </w:r>
    </w:p>
    <w:bookmarkEnd w:id="25"/>
    <w:bookmarkStart w:id="26" w:name="X9831fe73c63625ec7df1c951bb88e6c86d5e708"/>
    <w:p>
      <w:pPr>
        <w:pStyle w:val="Heading3"/>
      </w:pPr>
      <w:r>
        <w:t xml:space="preserve">7.4 Personal-interest analysis: Rule 1.7(a)(2) and Rule 1.10</w:t>
      </w:r>
    </w:p>
    <w:p>
      <w:pPr>
        <w:pStyle w:val="FirstParagraph"/>
      </w:pPr>
      <w:r>
        <w:t xml:space="preserve">Ms. Oyelaran’s limited partner interest in Fund II is passive, is less than 0.1%, is not a controlling interest, and gives her no role in the auction. Under Model Rule 1.7(a)(2) as applied by the firm’s Personal Interest Policy Section 3.1, a passive interest below the 1% threshold in a fund that does not hold the transaction subject does not create a material-limitation conflict. No disqualification arises and therefore nothing is imputed under Model Rule 1.10(a). Ms. Oyelaran will nonetheless be walled from the 26-0912 team as a prophylactic measure (Condition C-2), because she is the CarePeak relationship partner and the same wall serves the Part 7.2 analysis.</w:t>
      </w:r>
    </w:p>
    <w:bookmarkEnd w:id="26"/>
    <w:bookmarkStart w:id="27" w:name="X1e4c056b139815682ed97207b00c88326ae65c4"/>
    <w:p>
      <w:pPr>
        <w:pStyle w:val="Heading3"/>
      </w:pPr>
      <w:r>
        <w:t xml:space="preserve">7.5 Director-relationship analysis: Marcus D. Ferreira and Atticus Dundee Inc. (co-002)</w:t>
      </w:r>
    </w:p>
    <w:p>
      <w:pPr>
        <w:pStyle w:val="FirstParagraph"/>
      </w:pPr>
      <w:r>
        <w:t xml:space="preserve">Mr. Ferreira is a director of Atticus Dundee Inc., an existing client, and simultaneously the founder, CEO, and 20% indirect equityholder of the Prospective Client. Three distinct risks follow.</w:t>
      </w:r>
    </w:p>
    <w:p>
      <w:pPr>
        <w:pStyle w:val="BodyText"/>
      </w:pPr>
      <w:r>
        <w:rPr>
          <w:b/>
          <w:bCs/>
        </w:rPr>
        <w:t xml:space="preserve">Risk one, confusion about who the client is.</w:t>
      </w:r>
      <w:r>
        <w:t xml:space="preserve"> </w:t>
      </w:r>
      <w:r>
        <w:t xml:space="preserve">Mr. Ferreira interacts with the firm in his capacity as a director of co-002 and will now interact with the firm as the chief executive of a different client. Model Rule 1.13(f) requires the firm to make clear, when the organization’s interests are adverse to those of the constituent with whom the lawyer is dealing, that the lawyer represents the organization. Here the risk is one step removed but real, and the answer is the same: a written non-representation acknowledgement to Mr. Ferreira personally, which is Condition C-3.</w:t>
      </w:r>
    </w:p>
    <w:p>
      <w:pPr>
        <w:pStyle w:val="BodyText"/>
      </w:pPr>
      <w:r>
        <w:rPr>
          <w:b/>
          <w:bCs/>
        </w:rPr>
        <w:t xml:space="preserve">Risk two, information flow to co-002.</w:t>
      </w:r>
      <w:r>
        <w:t xml:space="preserve"> </w:t>
      </w:r>
      <w:r>
        <w:t xml:space="preserve">Mr. Ferreira sits on the audit committee of co-002. If the firm learns, in the course of representing co-002, information about co-002’s acquisition appetite or competitive posture that is relevant to the TechBridge auction, the firm cannot use it for TechBridge, and cannot in practice unlearn it. Conversely, TechBridge deal information could reach co-002’s board through Mr. Ferreira without any act by the firm. The firm’s exposure is limited by the screen in Condition C-2 but not eliminated. This is disclosed to both clients under Condition C-1.</w:t>
      </w:r>
    </w:p>
    <w:p>
      <w:pPr>
        <w:pStyle w:val="BodyText"/>
      </w:pPr>
      <w:r>
        <w:rPr>
          <w:b/>
          <w:bCs/>
        </w:rPr>
        <w:t xml:space="preserve">Risk three, co-002 as a potential bidder.</w:t>
      </w:r>
      <w:r>
        <w:t xml:space="preserve"> </w:t>
      </w:r>
      <w:r>
        <w:t xml:space="preserve">The requesting attorney has represented that co-002 is not a potential bidder. That representation must be confirmed by co-002’s general counsel in writing before the bidder list is circulated. If co-002 bids, the firm has a direct Rule 1.7(a)(1) adversity between two current clients in the same transaction, which the firm will not undertake on a consent basis. Condition C-5 addresses this and states the withdrawal consequence in advance.</w:t>
      </w:r>
    </w:p>
    <w:bookmarkEnd w:id="27"/>
    <w:bookmarkStart w:id="28" w:name="issues-expressly-reserved"/>
    <w:p>
      <w:pPr>
        <w:pStyle w:val="Heading3"/>
      </w:pPr>
      <w:r>
        <w:t xml:space="preserve">7.6 Issues expressly reserved</w:t>
      </w:r>
    </w:p>
    <w:p>
      <w:pPr>
        <w:pStyle w:val="FirstParagraph"/>
      </w:pPr>
      <w:r>
        <w:t xml:space="preserve">This record does not clear any bidder. It does not clear any financing source, and Meridian Crest’s lender relationships were not screened because the capital structure of the transaction is not yet known. It does not address whether the firm may act for the sponsor on any rollover or stapled-financing arrangement, which would be a separate engagement and a separate record.</w:t>
      </w:r>
    </w:p>
    <w:bookmarkEnd w:id="28"/>
    <w:bookmarkEnd w:id="29"/>
    <w:bookmarkStart w:id="30" w:name="disposition-and-conditions"/>
    <w:p>
      <w:pPr>
        <w:pStyle w:val="Heading2"/>
      </w:pPr>
      <w:r>
        <w:t xml:space="preserve">8. Disposition and Conditions</w:t>
      </w:r>
    </w:p>
    <w:p>
      <w:pPr>
        <w:pStyle w:val="FirstParagraph"/>
      </w:pPr>
      <w:r>
        <w:rPr>
          <w:b/>
          <w:bCs/>
        </w:rPr>
        <w:t xml:space="preserve">Disposition: CLEARED SUBJECT TO CONDITIONS.</w:t>
      </w:r>
      <w:r>
        <w:t xml:space="preserve"> </w:t>
      </w:r>
      <w:r>
        <w:t xml:space="preserve">Approved by the New Business Committee on July 29, 2026 (Hollis Nakamura-Reed, Chair) and countersigned by the General Counsel on July 30, 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Condition</w:t>
            </w:r>
          </w:p>
        </w:tc>
        <w:tc>
          <w:tcPr/>
          <w:p>
            <w:pPr>
              <w:pStyle w:val="Compact"/>
            </w:pPr>
            <w:r>
              <w:t xml:space="preserve">Owner</w:t>
            </w:r>
          </w:p>
        </w:tc>
        <w:tc>
          <w:tcPr/>
          <w:p>
            <w:pPr>
              <w:pStyle w:val="Compact"/>
            </w:pPr>
            <w:r>
              <w:t xml:space="preserve">Due</w:t>
            </w:r>
          </w:p>
        </w:tc>
        <w:tc>
          <w:tcPr/>
          <w:p>
            <w:pPr>
              <w:pStyle w:val="Compact"/>
            </w:pPr>
            <w:r>
              <w:t xml:space="preserve">Status</w:t>
            </w:r>
          </w:p>
        </w:tc>
      </w:tr>
      <w:tr>
        <w:tc>
          <w:tcPr/>
          <w:p>
            <w:pPr>
              <w:pStyle w:val="Compact"/>
            </w:pPr>
            <w:r>
              <w:t xml:space="preserve">C-1</w:t>
            </w:r>
          </w:p>
        </w:tc>
        <w:tc>
          <w:tcPr/>
          <w:p>
            <w:pPr>
              <w:pStyle w:val="Compact"/>
            </w:pPr>
            <w:r>
              <w:t xml:space="preserve">Obtain a written, informed conflict waiver from CarePeak Technologies, Inc. under Model Rule 1.7(b), disclosing the sponsor’s common control, the co-investment stake, and the information-flow risk in Part 7.5. Waiver to be signed by CarePeak’s general counsel, not by a sponsor designee on the CarePeak board.</w:t>
            </w:r>
          </w:p>
        </w:tc>
        <w:tc>
          <w:tcPr/>
          <w:p>
            <w:pPr>
              <w:pStyle w:val="Compact"/>
            </w:pPr>
            <w:r>
              <w:t xml:space="preserve">Marguerite Oyelaran</w:t>
            </w:r>
          </w:p>
        </w:tc>
        <w:tc>
          <w:tcPr/>
          <w:p>
            <w:pPr>
              <w:pStyle w:val="Compact"/>
            </w:pPr>
            <w:r>
              <w:t xml:space="preserve">2026-08-14</w:t>
            </w:r>
          </w:p>
        </w:tc>
        <w:tc>
          <w:tcPr/>
          <w:p>
            <w:pPr>
              <w:pStyle w:val="Compact"/>
            </w:pPr>
            <w:r>
              <w:t xml:space="preserve">Open</w:t>
            </w:r>
          </w:p>
        </w:tc>
      </w:tr>
      <w:tr>
        <w:tc>
          <w:tcPr/>
          <w:p>
            <w:pPr>
              <w:pStyle w:val="Compact"/>
            </w:pPr>
            <w:r>
              <w:t xml:space="preserve">C-2</w:t>
            </w:r>
          </w:p>
        </w:tc>
        <w:tc>
          <w:tcPr/>
          <w:p>
            <w:pPr>
              <w:pStyle w:val="Compact"/>
            </w:pPr>
            <w:r>
              <w:t xml:space="preserve">Implement an information screen isolating the 26-0912 deal team from the CarePeak client team and from Marguerite Oyelaran. Screen to include matter-level document security in the document management system, an acknowledgement from every screened person, and no shared assistants.</w:t>
            </w:r>
          </w:p>
        </w:tc>
        <w:tc>
          <w:tcPr/>
          <w:p>
            <w:pPr>
              <w:pStyle w:val="Compact"/>
            </w:pPr>
            <w:r>
              <w:t xml:space="preserve">Rosalind M. Achebe</w:t>
            </w:r>
          </w:p>
        </w:tc>
        <w:tc>
          <w:tcPr/>
          <w:p>
            <w:pPr>
              <w:pStyle w:val="Compact"/>
            </w:pPr>
            <w:r>
              <w:t xml:space="preserve">2026-08-07</w:t>
            </w:r>
          </w:p>
        </w:tc>
        <w:tc>
          <w:tcPr/>
          <w:p>
            <w:pPr>
              <w:pStyle w:val="Compact"/>
            </w:pPr>
            <w:r>
              <w:t xml:space="preserve">Implemented 2026-08-05</w:t>
            </w:r>
          </w:p>
        </w:tc>
      </w:tr>
      <w:tr>
        <w:tc>
          <w:tcPr/>
          <w:p>
            <w:pPr>
              <w:pStyle w:val="Compact"/>
            </w:pPr>
            <w:r>
              <w:t xml:space="preserve">C-3</w:t>
            </w:r>
          </w:p>
        </w:tc>
        <w:tc>
          <w:tcPr/>
          <w:p>
            <w:pPr>
              <w:pStyle w:val="Compact"/>
            </w:pPr>
            <w:r>
              <w:t xml:space="preserve">Deliver a written non-representation acknowledgement to Marcus D. Ferreira in his individual capacity, stating that the firm represents TechBridge Solutions, Inc. and not him, and recommending separate counsel for any personal rollover, employment, or indemnity arrangement.</w:t>
            </w:r>
          </w:p>
        </w:tc>
        <w:tc>
          <w:tcPr/>
          <w:p>
            <w:pPr>
              <w:pStyle w:val="Compact"/>
            </w:pPr>
            <w:r>
              <w:t xml:space="preserve">Douglas H. Wentz</w:t>
            </w:r>
          </w:p>
        </w:tc>
        <w:tc>
          <w:tcPr/>
          <w:p>
            <w:pPr>
              <w:pStyle w:val="Compact"/>
            </w:pPr>
            <w:r>
              <w:t xml:space="preserve">2026-08-14</w:t>
            </w:r>
          </w:p>
        </w:tc>
        <w:tc>
          <w:tcPr/>
          <w:p>
            <w:pPr>
              <w:pStyle w:val="Compact"/>
            </w:pPr>
            <w:r>
              <w:t xml:space="preserve">Open</w:t>
            </w:r>
          </w:p>
        </w:tc>
      </w:tr>
      <w:tr>
        <w:tc>
          <w:tcPr/>
          <w:p>
            <w:pPr>
              <w:pStyle w:val="Compact"/>
            </w:pPr>
            <w:r>
              <w:t xml:space="preserve">C-4</w:t>
            </w:r>
          </w:p>
        </w:tc>
        <w:tc>
          <w:tcPr/>
          <w:p>
            <w:pPr>
              <w:pStyle w:val="Compact"/>
            </w:pPr>
            <w:r>
              <w:t xml:space="preserve">Segregate matter 23-0774 (TechBridge Solutions Ltd.) in the document management system and obtain the Prospective Client’s written authorization before any 23-0774 material is used in or produced to the data room.</w:t>
            </w:r>
          </w:p>
        </w:tc>
        <w:tc>
          <w:tcPr/>
          <w:p>
            <w:pPr>
              <w:pStyle w:val="Compact"/>
            </w:pPr>
            <w:r>
              <w:t xml:space="preserve">Priya Raghunathan</w:t>
            </w:r>
          </w:p>
        </w:tc>
        <w:tc>
          <w:tcPr/>
          <w:p>
            <w:pPr>
              <w:pStyle w:val="Compact"/>
            </w:pPr>
            <w:r>
              <w:t xml:space="preserve">2026-08-14</w:t>
            </w:r>
          </w:p>
        </w:tc>
        <w:tc>
          <w:tcPr/>
          <w:p>
            <w:pPr>
              <w:pStyle w:val="Compact"/>
            </w:pPr>
            <w:r>
              <w:t xml:space="preserve">Open</w:t>
            </w:r>
          </w:p>
        </w:tc>
      </w:tr>
      <w:tr>
        <w:tc>
          <w:tcPr/>
          <w:p>
            <w:pPr>
              <w:pStyle w:val="Compact"/>
            </w:pPr>
            <w:r>
              <w:t xml:space="preserve">C-5</w:t>
            </w:r>
          </w:p>
        </w:tc>
        <w:tc>
          <w:tcPr/>
          <w:p>
            <w:pPr>
              <w:pStyle w:val="Compact"/>
            </w:pPr>
            <w:r>
              <w:t xml:space="preserve">Obtain written confirmation from the general counsel of Atticus Dundee Inc. that co-002 is not and will not become a bidder. If co-002 bids, the firm will decline the bidder relationship and, if TechBridge does not consent to the firm continuing, will withdraw from 26-0912 under Model Rule 1.16(b). State this consequence in the engagement letter.</w:t>
            </w:r>
          </w:p>
        </w:tc>
        <w:tc>
          <w:tcPr/>
          <w:p>
            <w:pPr>
              <w:pStyle w:val="Compact"/>
            </w:pPr>
            <w:r>
              <w:t xml:space="preserve">Simon T. Delacroix</w:t>
            </w:r>
          </w:p>
        </w:tc>
        <w:tc>
          <w:tcPr/>
          <w:p>
            <w:pPr>
              <w:pStyle w:val="Compact"/>
            </w:pPr>
            <w:r>
              <w:t xml:space="preserve">2026-09-04</w:t>
            </w:r>
          </w:p>
        </w:tc>
        <w:tc>
          <w:tcPr/>
          <w:p>
            <w:pPr>
              <w:pStyle w:val="Compact"/>
            </w:pPr>
            <w:r>
              <w:t xml:space="preserve">Open</w:t>
            </w:r>
          </w:p>
        </w:tc>
      </w:tr>
      <w:tr>
        <w:tc>
          <w:tcPr/>
          <w:p>
            <w:pPr>
              <w:pStyle w:val="Compact"/>
            </w:pPr>
            <w:r>
              <w:t xml:space="preserve">C-6</w:t>
            </w:r>
          </w:p>
        </w:tc>
        <w:tc>
          <w:tcPr/>
          <w:p>
            <w:pPr>
              <w:pStyle w:val="Compact"/>
            </w:pPr>
            <w:r>
              <w:t xml:space="preserve">Re-run this record against the final bidder list, each bidder’s parent and controlled affiliates, and each bidder’s financing sources, before any bidder-specific work begins.</w:t>
            </w:r>
          </w:p>
        </w:tc>
        <w:tc>
          <w:tcPr/>
          <w:p>
            <w:pPr>
              <w:pStyle w:val="Compact"/>
            </w:pPr>
            <w:r>
              <w:t xml:space="preserve">Priya Raghunathan</w:t>
            </w:r>
          </w:p>
        </w:tc>
        <w:tc>
          <w:tcPr/>
          <w:p>
            <w:pPr>
              <w:pStyle w:val="Compact"/>
            </w:pPr>
            <w:r>
              <w:t xml:space="preserve">On bidder list, expected 2026-09-25</w:t>
            </w:r>
          </w:p>
        </w:tc>
        <w:tc>
          <w:tcPr/>
          <w:p>
            <w:pPr>
              <w:pStyle w:val="Compact"/>
            </w:pPr>
            <w:r>
              <w:t xml:space="preserve">Not yet due</w:t>
            </w:r>
          </w:p>
        </w:tc>
      </w:tr>
      <w:tr>
        <w:tc>
          <w:tcPr/>
          <w:p>
            <w:pPr>
              <w:pStyle w:val="Compact"/>
            </w:pPr>
            <w:r>
              <w:t xml:space="preserve">C-7</w:t>
            </w:r>
          </w:p>
        </w:tc>
        <w:tc>
          <w:tcPr/>
          <w:p>
            <w:pPr>
              <w:pStyle w:val="Compact"/>
            </w:pPr>
            <w:r>
              <w:t xml:space="preserve">Engagement letter must state that the client is TechBridge Solutions, Inc. only, and must expressly exclude the funds, the general partner, the investment manager, Ferreira Family Holdings, LLC, and all individual equityholders.</w:t>
            </w:r>
          </w:p>
        </w:tc>
        <w:tc>
          <w:tcPr/>
          <w:p>
            <w:pPr>
              <w:pStyle w:val="Compact"/>
            </w:pPr>
            <w:r>
              <w:t xml:space="preserve">Douglas H. Wentz</w:t>
            </w:r>
          </w:p>
        </w:tc>
        <w:tc>
          <w:tcPr/>
          <w:p>
            <w:pPr>
              <w:pStyle w:val="Compact"/>
            </w:pPr>
            <w:r>
              <w:t xml:space="preserve">Before engagement letter is sent</w:t>
            </w:r>
          </w:p>
        </w:tc>
        <w:tc>
          <w:tcPr/>
          <w:p>
            <w:pPr>
              <w:pStyle w:val="Compact"/>
            </w:pPr>
            <w:r>
              <w:t xml:space="preserve">Open</w:t>
            </w:r>
          </w:p>
        </w:tc>
      </w:tr>
    </w:tbl>
    <w:p>
      <w:pPr>
        <w:pStyle w:val="BodyText"/>
      </w:pPr>
      <w:r>
        <w:rPr>
          <w:b/>
          <w:bCs/>
        </w:rPr>
        <w:t xml:space="preserve">No work may be billed to matter 26-0912 beyond conflicts and engagement-letter preparation until C-1, C-3, and C-7 are closed.</w:t>
      </w:r>
      <w:r>
        <w:t xml:space="preserve"> </w:t>
      </w:r>
      <w:r>
        <w:t xml:space="preserve">The intake system will hold the matter in provisional status until then.</w:t>
      </w:r>
    </w:p>
    <w:bookmarkEnd w:id="30"/>
    <w:bookmarkStart w:id="31" w:name="open-items"/>
    <w:p>
      <w:pPr>
        <w:pStyle w:val="Heading2"/>
      </w:pPr>
      <w:r>
        <w:t xml:space="preserve">9. Open Items</w:t>
      </w:r>
    </w:p>
    <w:p>
      <w:pPr>
        <w:pStyle w:val="Compact"/>
        <w:numPr>
          <w:ilvl w:val="0"/>
          <w:numId w:val="1002"/>
        </w:numPr>
      </w:pPr>
      <w:r>
        <w:t xml:space="preserve">C-1, C-3, C-4, C-5, and C-7 remain open as of the date this record was closed.</w:t>
      </w:r>
    </w:p>
    <w:p>
      <w:pPr>
        <w:pStyle w:val="Compact"/>
        <w:numPr>
          <w:ilvl w:val="0"/>
          <w:numId w:val="1002"/>
        </w:numPr>
      </w:pPr>
      <w:r>
        <w:t xml:space="preserve">Policy ticket POL-2026-088 (foreign-suffix normalization in the pass-one exact-match rule) is assigned to the intake systems team. Interim mitigation: analysts must manually screen known foreign suffixes for any sponsor-backed target.</w:t>
      </w:r>
    </w:p>
    <w:p>
      <w:pPr>
        <w:pStyle w:val="Compact"/>
        <w:numPr>
          <w:ilvl w:val="0"/>
          <w:numId w:val="1002"/>
        </w:numPr>
      </w:pPr>
      <w:r>
        <w:t xml:space="preserve">The bidder-list re-run under C-6 is the single largest residual risk in this record. The requesting attorney has been advised in writing that a bidder-side conflict discovered after the data room opens is materially harder to cure than one discovered now.</w:t>
      </w:r>
    </w:p>
    <w:bookmarkEnd w:id="31"/>
    <w:bookmarkStart w:id="32" w:name="certification"/>
    <w:p>
      <w:pPr>
        <w:pStyle w:val="Heading2"/>
      </w:pPr>
      <w:r>
        <w:t xml:space="preserve">10. Certification</w:t>
      </w:r>
    </w:p>
    <w:p>
      <w:pPr>
        <w:pStyle w:val="FirstParagraph"/>
      </w:pPr>
      <w:r>
        <w:t xml:space="preserve">I certify that the searches described in Part 4 were run against the databases listed, that every result at or above the 85.0 review threshold was reviewed by a human analyst and dispositioned in Part 5, and that the ownership percentages in Part 3.2 were verified against the sources identified in that table.</w:t>
      </w:r>
    </w:p>
    <w:p>
      <w:pPr>
        <w:pStyle w:val="BodyText"/>
      </w:pPr>
      <w:r>
        <w:t xml:space="preserve">Priya Raghunathan, Senior Conflicts Analyst</w:t>
      </w:r>
      <w:r>
        <w:t xml:space="preserve"> </w:t>
      </w:r>
      <w:r>
        <w:t xml:space="preserve">Date: July 23, 2026</w:t>
      </w:r>
    </w:p>
    <w:p>
      <w:pPr>
        <w:pStyle w:val="BodyText"/>
      </w:pPr>
      <w:r>
        <w:t xml:space="preserve">I have reviewed the search results and the analysis in Part 7. I concur in the disposition in Part 8. This clearance is conditional and is void if any condition in Part 8 is not satisfied by its due date or if any fact in Part 3 changes.</w:t>
      </w:r>
    </w:p>
    <w:p>
      <w:pPr>
        <w:pStyle w:val="BodyText"/>
      </w:pPr>
      <w:r>
        <w:t xml:space="preserve">Rosalind M. Achebe, General Counsel and Loss Prevention Partner</w:t>
      </w:r>
      <w:r>
        <w:t xml:space="preserve"> </w:t>
      </w:r>
      <w:r>
        <w:t xml:space="preserve">Date: July 30, 2026</w:t>
      </w:r>
    </w:p>
    <w:bookmarkEnd w:id="32"/>
    <w:bookmarkStart w:id="33" w:name="audit-trail"/>
    <w:p>
      <w:pPr>
        <w:pStyle w:val="Heading2"/>
      </w:pPr>
      <w:r>
        <w:t xml:space="preserve">11. Audit Trail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Timestamp</w:t>
            </w:r>
          </w:p>
        </w:tc>
        <w:tc>
          <w:tcPr/>
          <w:p>
            <w:pPr>
              <w:pStyle w:val="Compact"/>
            </w:pPr>
            <w:r>
              <w:t xml:space="preserve">Actor</w:t>
            </w:r>
          </w:p>
        </w:tc>
        <w:tc>
          <w:tcPr/>
          <w:p>
            <w:pPr>
              <w:pStyle w:val="Compact"/>
            </w:pPr>
            <w:r>
              <w:t xml:space="preserve">Action</w:t>
            </w:r>
          </w:p>
        </w:tc>
      </w:tr>
      <w:tr>
        <w:tc>
          <w:tcPr/>
          <w:p>
            <w:pPr>
              <w:pStyle w:val="Compact"/>
            </w:pPr>
            <w:r>
              <w:t xml:space="preserve">2026-07-20 09:14</w:t>
            </w:r>
          </w:p>
        </w:tc>
        <w:tc>
          <w:tcPr/>
          <w:p>
            <w:pPr>
              <w:pStyle w:val="Compact"/>
            </w:pPr>
            <w:r>
              <w:t xml:space="preserve">D. Wentz</w:t>
            </w:r>
          </w:p>
        </w:tc>
        <w:tc>
          <w:tcPr/>
          <w:p>
            <w:pPr>
              <w:pStyle w:val="Compact"/>
            </w:pPr>
            <w:r>
              <w:t xml:space="preserve">Intake request submitted; enhanced review track selected</w:t>
            </w:r>
          </w:p>
        </w:tc>
      </w:tr>
      <w:tr>
        <w:tc>
          <w:tcPr/>
          <w:p>
            <w:pPr>
              <w:pStyle w:val="Compact"/>
            </w:pPr>
            <w:r>
              <w:t xml:space="preserve">2026-07-20 11:02</w:t>
            </w:r>
          </w:p>
        </w:tc>
        <w:tc>
          <w:tcPr/>
          <w:p>
            <w:pPr>
              <w:pStyle w:val="Compact"/>
            </w:pPr>
            <w:r>
              <w:t xml:space="preserve">P. Raghunathan</w:t>
            </w:r>
          </w:p>
        </w:tc>
        <w:tc>
          <w:tcPr/>
          <w:p>
            <w:pPr>
              <w:pStyle w:val="Compact"/>
            </w:pPr>
            <w:r>
              <w:t xml:space="preserve">Names extracted; 14 names queued</w:t>
            </w:r>
          </w:p>
        </w:tc>
      </w:tr>
      <w:tr>
        <w:tc>
          <w:tcPr/>
          <w:p>
            <w:pPr>
              <w:pStyle w:val="Compact"/>
            </w:pPr>
            <w:r>
              <w:t xml:space="preserve">2026-07-21 08:40</w:t>
            </w:r>
          </w:p>
        </w:tc>
        <w:tc>
          <w:tcPr/>
          <w:p>
            <w:pPr>
              <w:pStyle w:val="Compact"/>
            </w:pPr>
            <w:r>
              <w:t xml:space="preserve">P. Raghunathan</w:t>
            </w:r>
          </w:p>
        </w:tc>
        <w:tc>
          <w:tcPr/>
          <w:p>
            <w:pPr>
              <w:pStyle w:val="Compact"/>
            </w:pPr>
            <w:r>
              <w:t xml:space="preserve">Pass one complete: 3 exact hits</w:t>
            </w:r>
          </w:p>
        </w:tc>
      </w:tr>
      <w:tr>
        <w:tc>
          <w:tcPr/>
          <w:p>
            <w:pPr>
              <w:pStyle w:val="Compact"/>
            </w:pPr>
            <w:r>
              <w:t xml:space="preserve">2026-07-21 15:27</w:t>
            </w:r>
          </w:p>
        </w:tc>
        <w:tc>
          <w:tcPr/>
          <w:p>
            <w:pPr>
              <w:pStyle w:val="Compact"/>
            </w:pPr>
            <w:r>
              <w:t xml:space="preserve">P. Raghunathan</w:t>
            </w:r>
          </w:p>
        </w:tc>
        <w:tc>
          <w:tcPr/>
          <w:p>
            <w:pPr>
              <w:pStyle w:val="Compact"/>
            </w:pPr>
            <w:r>
              <w:t xml:space="preserve">Pass two complete: 4 results at or above 85.0, 11 below</w:t>
            </w:r>
          </w:p>
        </w:tc>
      </w:tr>
      <w:tr>
        <w:tc>
          <w:tcPr/>
          <w:p>
            <w:pPr>
              <w:pStyle w:val="Compact"/>
            </w:pPr>
            <w:r>
              <w:t xml:space="preserve">2026-07-21 16:05</w:t>
            </w:r>
          </w:p>
        </w:tc>
        <w:tc>
          <w:tcPr/>
          <w:p>
            <w:pPr>
              <w:pStyle w:val="Compact"/>
            </w:pPr>
            <w:r>
              <w:t xml:space="preserve">P. Raghunathan</w:t>
            </w:r>
          </w:p>
        </w:tc>
        <w:tc>
          <w:tcPr/>
          <w:p>
            <w:pPr>
              <w:pStyle w:val="Compact"/>
            </w:pPr>
            <w:r>
              <w:t xml:space="preserve">Irish CRO extract obtained for TechBridge Solutions Ltd.</w:t>
            </w:r>
          </w:p>
        </w:tc>
      </w:tr>
      <w:tr>
        <w:tc>
          <w:tcPr/>
          <w:p>
            <w:pPr>
              <w:pStyle w:val="Compact"/>
            </w:pPr>
            <w:r>
              <w:t xml:space="preserve">2026-07-22 10:11</w:t>
            </w:r>
          </w:p>
        </w:tc>
        <w:tc>
          <w:tcPr/>
          <w:p>
            <w:pPr>
              <w:pStyle w:val="Compact"/>
            </w:pPr>
            <w:r>
              <w:t xml:space="preserve">P. Raghunathan</w:t>
            </w:r>
          </w:p>
        </w:tc>
        <w:tc>
          <w:tcPr/>
          <w:p>
            <w:pPr>
              <w:pStyle w:val="Compact"/>
            </w:pPr>
            <w:r>
              <w:t xml:space="preserve">Capitalization table received from TechBridge CFO; percentages verified</w:t>
            </w:r>
          </w:p>
        </w:tc>
      </w:tr>
      <w:tr>
        <w:tc>
          <w:tcPr/>
          <w:p>
            <w:pPr>
              <w:pStyle w:val="Compact"/>
            </w:pPr>
            <w:r>
              <w:t xml:space="preserve">2026-07-22 14:33</w:t>
            </w:r>
          </w:p>
        </w:tc>
        <w:tc>
          <w:tcPr/>
          <w:p>
            <w:pPr>
              <w:pStyle w:val="Compact"/>
            </w:pPr>
            <w:r>
              <w:t xml:space="preserve">P. Raghunathan</w:t>
            </w:r>
          </w:p>
        </w:tc>
        <w:tc>
          <w:tcPr/>
          <w:p>
            <w:pPr>
              <w:pStyle w:val="Compact"/>
            </w:pPr>
            <w:r>
              <w:t xml:space="preserve">F-1 escalated to General Counsel</w:t>
            </w:r>
          </w:p>
        </w:tc>
      </w:tr>
      <w:tr>
        <w:tc>
          <w:tcPr/>
          <w:p>
            <w:pPr>
              <w:pStyle w:val="Compact"/>
            </w:pPr>
            <w:r>
              <w:t xml:space="preserve">2026-07-23 09:50</w:t>
            </w:r>
          </w:p>
        </w:tc>
        <w:tc>
          <w:tcPr/>
          <w:p>
            <w:pPr>
              <w:pStyle w:val="Compact"/>
            </w:pPr>
            <w:r>
              <w:t xml:space="preserve">P. Raghunathan</w:t>
            </w:r>
          </w:p>
        </w:tc>
        <w:tc>
          <w:tcPr/>
          <w:p>
            <w:pPr>
              <w:pStyle w:val="Compact"/>
            </w:pPr>
            <w:r>
              <w:t xml:space="preserve">F-3 cleared with documented basis (Nevada registry)</w:t>
            </w:r>
          </w:p>
        </w:tc>
      </w:tr>
      <w:tr>
        <w:tc>
          <w:tcPr/>
          <w:p>
            <w:pPr>
              <w:pStyle w:val="Compact"/>
            </w:pPr>
            <w:r>
              <w:t xml:space="preserve">2026-07-23 17:20</w:t>
            </w:r>
          </w:p>
        </w:tc>
        <w:tc>
          <w:tcPr/>
          <w:p>
            <w:pPr>
              <w:pStyle w:val="Compact"/>
            </w:pPr>
            <w:r>
              <w:t xml:space="preserve">P. Raghunathan</w:t>
            </w:r>
          </w:p>
        </w:tc>
        <w:tc>
          <w:tcPr/>
          <w:p>
            <w:pPr>
              <w:pStyle w:val="Compact"/>
            </w:pPr>
            <w:r>
              <w:t xml:space="preserve">Search certified complete</w:t>
            </w:r>
          </w:p>
        </w:tc>
      </w:tr>
      <w:tr>
        <w:tc>
          <w:tcPr/>
          <w:p>
            <w:pPr>
              <w:pStyle w:val="Compact"/>
            </w:pPr>
            <w:r>
              <w:t xml:space="preserve">2026-07-27 13:00</w:t>
            </w:r>
          </w:p>
        </w:tc>
        <w:tc>
          <w:tcPr/>
          <w:p>
            <w:pPr>
              <w:pStyle w:val="Compact"/>
            </w:pPr>
            <w:r>
              <w:t xml:space="preserve">R. M. Achebe</w:t>
            </w:r>
          </w:p>
        </w:tc>
        <w:tc>
          <w:tcPr/>
          <w:p>
            <w:pPr>
              <w:pStyle w:val="Compact"/>
            </w:pPr>
            <w:r>
              <w:t xml:space="preserve">Analysis drafted; conditions proposed</w:t>
            </w:r>
          </w:p>
        </w:tc>
      </w:tr>
      <w:tr>
        <w:tc>
          <w:tcPr/>
          <w:p>
            <w:pPr>
              <w:pStyle w:val="Compact"/>
            </w:pPr>
            <w:r>
              <w:t xml:space="preserve">2026-07-29 16:45</w:t>
            </w:r>
          </w:p>
        </w:tc>
        <w:tc>
          <w:tcPr/>
          <w:p>
            <w:pPr>
              <w:pStyle w:val="Compact"/>
            </w:pPr>
            <w:r>
              <w:t xml:space="preserve">New Business Committee</w:t>
            </w:r>
          </w:p>
        </w:tc>
        <w:tc>
          <w:tcPr/>
          <w:p>
            <w:pPr>
              <w:pStyle w:val="Compact"/>
            </w:pPr>
            <w:r>
              <w:t xml:space="preserve">Approved subject to conditions C-1 through C-7</w:t>
            </w:r>
          </w:p>
        </w:tc>
      </w:tr>
      <w:tr>
        <w:tc>
          <w:tcPr/>
          <w:p>
            <w:pPr>
              <w:pStyle w:val="Compact"/>
            </w:pPr>
            <w:r>
              <w:t xml:space="preserve">2026-07-30 08:30</w:t>
            </w:r>
          </w:p>
        </w:tc>
        <w:tc>
          <w:tcPr/>
          <w:p>
            <w:pPr>
              <w:pStyle w:val="Compact"/>
            </w:pPr>
            <w:r>
              <w:t xml:space="preserve">R. M. Achebe</w:t>
            </w:r>
          </w:p>
        </w:tc>
        <w:tc>
          <w:tcPr/>
          <w:p>
            <w:pPr>
              <w:pStyle w:val="Compact"/>
            </w:pPr>
            <w:r>
              <w:t xml:space="preserve">Record closed; matter opened in provisional status</w:t>
            </w:r>
          </w:p>
        </w:tc>
      </w:tr>
      <w:tr>
        <w:tc>
          <w:tcPr/>
          <w:p>
            <w:pPr>
              <w:pStyle w:val="Compact"/>
            </w:pPr>
            <w:r>
              <w:t xml:space="preserve">2026-08-05 11:15</w:t>
            </w:r>
          </w:p>
        </w:tc>
        <w:tc>
          <w:tcPr/>
          <w:p>
            <w:pPr>
              <w:pStyle w:val="Compact"/>
            </w:pPr>
            <w:r>
              <w:t xml:space="preserve">R. M. Achebe</w:t>
            </w:r>
          </w:p>
        </w:tc>
        <w:tc>
          <w:tcPr/>
          <w:p>
            <w:pPr>
              <w:pStyle w:val="Compact"/>
            </w:pPr>
            <w:r>
              <w:t xml:space="preserve">C-2 screen implemented and acknowledgements collected</w:t>
            </w:r>
          </w:p>
        </w:tc>
      </w:tr>
    </w:tbl>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2026-08-11T18:12:13Z</dcterms:created>
  <dcterms:modified xsi:type="dcterms:W3CDTF">2026-08-11T18:12:13Z</dcterms:modified>
</cp:coreProperties>
</file>

<file path=docProps/custom.xml><?xml version="1.0" encoding="utf-8"?>
<Properties xmlns="http://schemas.openxmlformats.org/officeDocument/2006/custom-properties" xmlns:vt="http://schemas.openxmlformats.org/officeDocument/2006/docPropsVTypes"/>
</file>