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erview-scorecard-hiring-manager"/>
    <w:p>
      <w:pPr>
        <w:pStyle w:val="Heading1"/>
      </w:pPr>
      <w:r>
        <w:t xml:space="preserve">Interview scorecard: hiring manager</w:t>
      </w:r>
    </w:p>
    <w:p>
      <w:pPr>
        <w:pStyle w:val="Compact"/>
        <w:numPr>
          <w:ilvl w:val="0"/>
          <w:numId w:val="1001"/>
        </w:numPr>
      </w:pPr>
      <w:r>
        <w:t xml:space="preserve">Scorecard ID: SCD-2026-0001</w:t>
      </w:r>
    </w:p>
    <w:p>
      <w:pPr>
        <w:pStyle w:val="Compact"/>
        <w:numPr>
          <w:ilvl w:val="0"/>
          <w:numId w:val="1001"/>
        </w:numPr>
      </w:pPr>
      <w:r>
        <w:t xml:space="preserve">Candidate ID: ca-001</w:t>
      </w:r>
    </w:p>
    <w:p>
      <w:pPr>
        <w:pStyle w:val="Compact"/>
        <w:numPr>
          <w:ilvl w:val="0"/>
          <w:numId w:val="1001"/>
        </w:numPr>
      </w:pPr>
      <w:r>
        <w:t xml:space="preserve">Requisition ID: RQN-2026-0105</w:t>
      </w:r>
    </w:p>
    <w:p>
      <w:pPr>
        <w:pStyle w:val="Compact"/>
        <w:numPr>
          <w:ilvl w:val="0"/>
          <w:numId w:val="1001"/>
        </w:numPr>
      </w:pPr>
      <w:r>
        <w:t xml:space="preserve">Panel role: hiring-manager</w:t>
      </w:r>
    </w:p>
    <w:p>
      <w:pPr>
        <w:pStyle w:val="Compact"/>
        <w:numPr>
          <w:ilvl w:val="0"/>
          <w:numId w:val="1001"/>
        </w:numPr>
      </w:pPr>
      <w:r>
        <w:t xml:space="preserve">Interviewer: Dashiell Ashgrove (Engineering Manager)</w:t>
      </w:r>
    </w:p>
    <w:p>
      <w:pPr>
        <w:pStyle w:val="Compact"/>
        <w:numPr>
          <w:ilvl w:val="0"/>
          <w:numId w:val="1001"/>
        </w:numPr>
      </w:pPr>
      <w:r>
        <w:t xml:space="preserve">Panelist employee ID: EMP-0017</w:t>
      </w:r>
    </w:p>
    <w:p>
      <w:pPr>
        <w:pStyle w:val="Compact"/>
        <w:numPr>
          <w:ilvl w:val="0"/>
          <w:numId w:val="1001"/>
        </w:numPr>
      </w:pPr>
      <w:r>
        <w:t xml:space="preserve">Interview date: 2026-03-12</w:t>
      </w:r>
    </w:p>
    <w:p>
      <w:pPr>
        <w:pStyle w:val="Compact"/>
        <w:numPr>
          <w:ilvl w:val="0"/>
          <w:numId w:val="1001"/>
        </w:numPr>
      </w:pPr>
      <w:r>
        <w:t xml:space="preserve">Requested date: 2026-03-12</w:t>
      </w:r>
    </w:p>
    <w:p>
      <w:pPr>
        <w:pStyle w:val="Compact"/>
        <w:numPr>
          <w:ilvl w:val="0"/>
          <w:numId w:val="1001"/>
        </w:numPr>
      </w:pPr>
      <w:r>
        <w:t xml:space="preserve">Status: submitted</w:t>
      </w:r>
    </w:p>
    <w:p>
      <w:pPr>
        <w:pStyle w:val="Compact"/>
        <w:numPr>
          <w:ilvl w:val="0"/>
          <w:numId w:val="1001"/>
        </w:numPr>
      </w:pPr>
      <w:r>
        <w:t xml:space="preserve">Submitted date: 2026-03-13</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Structured problem solving (CMP-01)</w:t>
            </w:r>
          </w:p>
        </w:tc>
        <w:tc>
          <w:tcPr/>
          <w:p>
            <w:pPr>
              <w:pStyle w:val="Compact"/>
            </w:pPr>
            <w:r>
              <w:t xml:space="preserve">4</w:t>
            </w:r>
          </w:p>
        </w:tc>
        <w:tc>
          <w:tcPr/>
          <w:p>
            <w:pPr>
              <w:pStyle w:val="Compact"/>
            </w:pPr>
            <w:r>
              <w:t xml:space="preserve">Separated the reasonable original call from the cost it carried a year later, and traced the divergence to a support case where both figures were correct as of different moments rather than treating one as a bug.</w:t>
            </w:r>
          </w:p>
        </w:tc>
      </w:tr>
      <w:tr>
        <w:tc>
          <w:tcPr/>
          <w:p>
            <w:pPr>
              <w:pStyle w:val="Compact"/>
            </w:pPr>
            <w:r>
              <w:t xml:space="preserve">System design judgment (CMP-03)</w:t>
            </w:r>
          </w:p>
        </w:tc>
        <w:tc>
          <w:tcPr/>
          <w:p>
            <w:pPr>
              <w:pStyle w:val="Compact"/>
            </w:pPr>
            <w:r>
              <w:t xml:space="preserve">3</w:t>
            </w:r>
          </w:p>
        </w:tc>
        <w:tc>
          <w:tcPr/>
          <w:p>
            <w:pPr>
              <w:pStyle w:val="Compact"/>
            </w:pPr>
            <w:r>
              <w:t xml:space="preserve">Staged the migration as dual write, comparison by shape and a read switch per consumer with a way back at each step, but described the plan she ran more readily than the alternatives she rejected.</w:t>
            </w:r>
          </w:p>
        </w:tc>
      </w:tr>
      <w:tr>
        <w:tc>
          <w:tcPr/>
          <w:p>
            <w:pPr>
              <w:pStyle w:val="Compact"/>
            </w:pPr>
            <w:r>
              <w:t xml:space="preserve">Collaboration across teams (CMP-05)</w:t>
            </w:r>
          </w:p>
        </w:tc>
        <w:tc>
          <w:tcPr/>
          <w:p>
            <w:pPr>
              <w:pStyle w:val="Compact"/>
            </w:pPr>
            <w:r>
              <w:t xml:space="preserve">3</w:t>
            </w:r>
          </w:p>
        </w:tc>
        <w:tc>
          <w:tcPr/>
          <w:p>
            <w:pPr>
              <w:pStyle w:val="Compact"/>
            </w:pPr>
            <w:r>
              <w:t xml:space="preserve">Starts by asking what the other side is measured on, which is specific. The second half of the answer, being reliable for a couple of cycles, is a stated approach rather than a piece of work she named.</w:t>
            </w:r>
          </w:p>
        </w:tc>
      </w:tr>
    </w:tbl>
    <w:bookmarkEnd w:id="9"/>
    <w:bookmarkStart w:id="10" w:name="additional-observations"/>
    <w:p>
      <w:pPr>
        <w:pStyle w:val="Heading2"/>
      </w:pPr>
      <w:r>
        <w:t xml:space="preserve">Additional observations</w:t>
      </w:r>
    </w:p>
    <w:p>
      <w:pPr>
        <w:pStyle w:val="FirstParagraph"/>
      </w:pPr>
      <w:r>
        <w:t xml:space="preserve">Held the shadow period open for about three months against her own preference, because the comparison job kept surfacing a month end disagreement and she would not switch a consumer until it was understood. Asked what had gone badly for the team recently and said she would rather know than not. The sequencing question she put to the recruiter is still open and it is ours to answer, not hers.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2026-09-06T10:11:12Z</dcterms:created>
  <dcterms:modified xsi:type="dcterms:W3CDTF">2026-09-06T10:11:12Z</dcterms:modified>
</cp:coreProperties>
</file>

<file path=docProps/custom.xml><?xml version="1.0" encoding="utf-8"?>
<Properties xmlns="http://schemas.openxmlformats.org/officeDocument/2006/custom-properties" xmlns:vt="http://schemas.openxmlformats.org/officeDocument/2006/docPropsVTypes"/>
</file>