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053e7a3f6496fff74371f764aabc103c8846e0"/>
    <w:p>
      <w:pPr>
        <w:pStyle w:val="Heading1"/>
      </w:pPr>
      <w:r>
        <w:t xml:space="preserve">Commercial Insurance and Facilities Services Program Agreement</w:t>
      </w:r>
    </w:p>
    <w:p>
      <w:pPr>
        <w:pStyle w:val="FirstParagraph"/>
      </w:pPr>
      <w:r>
        <w:rPr>
          <w:b/>
          <w:bCs/>
        </w:rPr>
        <w:t xml:space="preserve">Between Millgate Insurance Services and Atticus Dundee Inc.</w:t>
      </w:r>
    </w:p>
    <w:p>
      <w:pPr>
        <w:pStyle w:val="BodyText"/>
      </w:pPr>
      <w:r>
        <w:rPr>
          <w:b/>
          <w:bCs/>
        </w:rPr>
        <w:t xml:space="preserve">Program Reference: MIS-CPP-2026-0417</w:t>
      </w:r>
    </w:p>
    <w:p>
      <w:pPr>
        <w:pStyle w:val="BodyText"/>
      </w:pPr>
      <w:r>
        <w:t xml:space="preserve">This Commercial Insurance and Facilities Services Program Agreement (this</w:t>
      </w:r>
      <w:r>
        <w:t xml:space="preserve"> </w:t>
      </w:r>
      <w:r>
        <w:t xml:space="preserve">“</w:t>
      </w:r>
      <w:r>
        <w:rPr>
          <w:b/>
          <w:bCs/>
        </w:rPr>
        <w:t xml:space="preserve">Agreement</w:t>
      </w:r>
      <w:r>
        <w:t xml:space="preserve">”</w:t>
      </w:r>
      <w:r>
        <w:t xml:space="preserve">) is entered into as of March 20, 2026 (the</w:t>
      </w:r>
      <w:r>
        <w:t xml:space="preserve"> </w:t>
      </w:r>
      <w:r>
        <w:t xml:space="preserve">“</w:t>
      </w:r>
      <w:r>
        <w:rPr>
          <w:b/>
          <w:bCs/>
        </w:rPr>
        <w:t xml:space="preserve">Agreement Date</w:t>
      </w:r>
      <w:r>
        <w:t xml:space="preserve">”</w:t>
      </w:r>
      <w:r>
        <w:t xml:space="preserve">) by and between:</w:t>
      </w:r>
    </w:p>
    <w:p>
      <w:pPr>
        <w:pStyle w:val="BodyText"/>
      </w:pPr>
      <w:r>
        <w:rPr>
          <w:b/>
          <w:bCs/>
        </w:rPr>
        <w:t xml:space="preserve">Millgate Insurance Services</w:t>
      </w:r>
      <w:r>
        <w:t xml:space="preserve">, a Connecticut corporation with its principal place of business at 2200 Kestrel Row, Suite 1100, Hartford, Connecticut 06103 (</w:t>
      </w:r>
      <w:r>
        <w:t xml:space="preserve">“</w:t>
      </w:r>
      <w:r>
        <w:rPr>
          <w:b/>
          <w:bCs/>
        </w:rPr>
        <w:t xml:space="preserve">Millgate</w:t>
      </w:r>
      <w:r>
        <w:t xml:space="preserve">”</w:t>
      </w:r>
      <w:r>
        <w:t xml:space="preserve"> </w:t>
      </w:r>
      <w:r>
        <w:t xml:space="preserve">or the</w:t>
      </w:r>
      <w:r>
        <w:t xml:space="preserve"> </w:t>
      </w:r>
      <w:r>
        <w:t xml:space="preserve">“</w:t>
      </w:r>
      <w:r>
        <w:rPr>
          <w:b/>
          <w:bCs/>
        </w:rPr>
        <w:t xml:space="preserve">Program Administrator</w:t>
      </w:r>
      <w:r>
        <w:t xml:space="preserve">”</w:t>
      </w:r>
      <w:r>
        <w:t xml:space="preserve">); and</w:t>
      </w:r>
    </w:p>
    <w:p>
      <w:pPr>
        <w:pStyle w:val="BodyText"/>
      </w:pPr>
      <w:r>
        <w:rPr>
          <w:b/>
          <w:bCs/>
        </w:rPr>
        <w:t xml:space="preserve">Atticus Dundee Inc.</w:t>
      </w:r>
      <w:r>
        <w:t xml:space="preserve">, a Delaware corporation with its principal place of business at 1450 Halverson Quay, Suite 600, Wilmington, Delaware 19801 (the</w:t>
      </w:r>
      <w:r>
        <w:t xml:space="preserve"> </w:t>
      </w:r>
      <w:r>
        <w:t xml:space="preserve">“</w:t>
      </w:r>
      <w:r>
        <w:rPr>
          <w:b/>
          <w:bCs/>
        </w:rPr>
        <w:t xml:space="preserve">Insured</w:t>
      </w:r>
      <w:r>
        <w:t xml:space="preserve">”</w:t>
      </w:r>
      <w:r>
        <w:t xml:space="preserve">).</w:t>
      </w:r>
    </w:p>
    <w:p>
      <w:pPr>
        <w:pStyle w:val="BodyText"/>
      </w:pPr>
      <w:r>
        <w:t xml:space="preserve">Millgate and the Insured are each referred to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p>
    <w:bookmarkStart w:id="9" w:name="recitals"/>
    <w:p>
      <w:pPr>
        <w:pStyle w:val="Heading2"/>
      </w:pPr>
      <w:r>
        <w:t xml:space="preserve">Recitals</w:t>
      </w:r>
    </w:p>
    <w:p>
      <w:pPr>
        <w:pStyle w:val="FirstParagraph"/>
      </w:pPr>
      <w:r>
        <w:rPr>
          <w:b/>
          <w:bCs/>
        </w:rPr>
        <w:t xml:space="preserve">A.</w:t>
      </w:r>
      <w:r>
        <w:t xml:space="preserve"> </w:t>
      </w:r>
      <w:r>
        <w:t xml:space="preserve">Millgate is a licensed insurance producer and program administrator that places, binds, and administers commercial insurance programs on behalf of its clients, and that provides related facilities risk and certificate administration services.</w:t>
      </w:r>
    </w:p>
    <w:p>
      <w:pPr>
        <w:pStyle w:val="BodyText"/>
      </w:pPr>
      <w:r>
        <w:rPr>
          <w:b/>
          <w:bCs/>
        </w:rPr>
        <w:t xml:space="preserve">B.</w:t>
      </w:r>
      <w:r>
        <w:t xml:space="preserve"> </w:t>
      </w:r>
      <w:r>
        <w:t xml:space="preserve">The Insured wishes to place its commercial insurance program for the twelve month period beginning April 1, 2026, and to engage Millgate to administer that program and to provide the facilities services described in Section 11.</w:t>
      </w:r>
    </w:p>
    <w:p>
      <w:pPr>
        <w:pStyle w:val="BodyText"/>
      </w:pPr>
      <w:r>
        <w:rPr>
          <w:b/>
          <w:bCs/>
        </w:rPr>
        <w:t xml:space="preserve">C.</w:t>
      </w:r>
      <w:r>
        <w:t xml:space="preserve"> </w:t>
      </w:r>
      <w:r>
        <w:t xml:space="preserve">The Parties wish to record the terms on which the program is placed, the premium is charged and paid, the program renews, and the program may be cancelled.</w:t>
      </w:r>
    </w:p>
    <w:p>
      <w:pPr>
        <w:pStyle w:val="BodyText"/>
      </w:pPr>
      <w:r>
        <w:rPr>
          <w:b/>
          <w:bCs/>
        </w:rPr>
        <w:t xml:space="preserve">NOW, THEREFORE</w:t>
      </w:r>
      <w:r>
        <w:t xml:space="preserve">, in consideration of the mutual covenants and promises set out below, and for other good and valuable consideration, the receipt and sufficiency of which are acknowledged, the Parties agree as follows.</w:t>
      </w:r>
    </w:p>
    <w:bookmarkEnd w:id="9"/>
    <w:bookmarkStart w:id="10" w:name="the-program"/>
    <w:p>
      <w:pPr>
        <w:pStyle w:val="Heading2"/>
      </w:pPr>
      <w:r>
        <w:t xml:space="preserve">1. The Program</w:t>
      </w:r>
    </w:p>
    <w:p>
      <w:pPr>
        <w:pStyle w:val="FirstParagraph"/>
      </w:pPr>
      <w:r>
        <w:rPr>
          <w:b/>
          <w:bCs/>
        </w:rPr>
        <w:t xml:space="preserve">1.1 Placement.</w:t>
      </w:r>
      <w:r>
        <w:t xml:space="preserve"> </w:t>
      </w:r>
      <w:r>
        <w:t xml:space="preserve">Millgate will place, bind, and administer the coverage parts listed in Section 3 (together, the</w:t>
      </w:r>
      <w:r>
        <w:t xml:space="preserve"> </w:t>
      </w:r>
      <w:r>
        <w:t xml:space="preserve">“</w:t>
      </w:r>
      <w:r>
        <w:rPr>
          <w:b/>
          <w:bCs/>
        </w:rPr>
        <w:t xml:space="preserve">Program</w:t>
      </w:r>
      <w:r>
        <w:t xml:space="preserve">”</w:t>
      </w:r>
      <w:r>
        <w:t xml:space="preserve">) with the carriers identified in the binder issued to the Insured on or before the first day of the Policy Period.</w:t>
      </w:r>
    </w:p>
    <w:p>
      <w:pPr>
        <w:pStyle w:val="BodyText"/>
      </w:pPr>
      <w:r>
        <w:rPr>
          <w:b/>
          <w:bCs/>
        </w:rPr>
        <w:t xml:space="preserve">1.2 Program Administrator.</w:t>
      </w:r>
      <w:r>
        <w:t xml:space="preserve"> </w:t>
      </w:r>
      <w:r>
        <w:t xml:space="preserve">Millgate acts as the Insured’s producer of record for the Program and as program administrator for the coverage parts placed under it. Millgate is not an insurer and does not underwrite risk. Coverage is provided by the issuing carriers under the policies they issue, and the terms of those policies control the scope of coverage.</w:t>
      </w:r>
    </w:p>
    <w:p>
      <w:pPr>
        <w:pStyle w:val="BodyText"/>
      </w:pPr>
      <w:r>
        <w:rPr>
          <w:b/>
          <w:bCs/>
        </w:rPr>
        <w:t xml:space="preserve">1.3 No Advice on Adequacy of Limits.</w:t>
      </w:r>
      <w:r>
        <w:t xml:space="preserve"> </w:t>
      </w:r>
      <w:r>
        <w:t xml:space="preserve">Millgate has recommended the limits set out in Section 3 based on the exposure information the Insured provided. The Insured is responsible for determining whether those limits are adequate for its business.</w:t>
      </w:r>
    </w:p>
    <w:bookmarkEnd w:id="10"/>
    <w:bookmarkStart w:id="11" w:name="policy-period-and-attachment-of-coverage"/>
    <w:p>
      <w:pPr>
        <w:pStyle w:val="Heading2"/>
      </w:pPr>
      <w:r>
        <w:t xml:space="preserve">2. Policy Period and Attachment of Coverage</w:t>
      </w:r>
    </w:p>
    <w:p>
      <w:pPr>
        <w:pStyle w:val="FirstParagraph"/>
      </w:pPr>
      <w:r>
        <w:rPr>
          <w:b/>
          <w:bCs/>
        </w:rPr>
        <w:t xml:space="preserve">2.1 Policy Period.</w:t>
      </w:r>
      <w:r>
        <w:t xml:space="preserve"> </w:t>
      </w:r>
      <w:r>
        <w:t xml:space="preserve">The policy period for the Program (the</w:t>
      </w:r>
      <w:r>
        <w:t xml:space="preserve"> </w:t>
      </w:r>
      <w:r>
        <w:t xml:space="preserve">“</w:t>
      </w:r>
      <w:r>
        <w:rPr>
          <w:b/>
          <w:bCs/>
        </w:rPr>
        <w:t xml:space="preserve">Policy Period</w:t>
      </w:r>
      <w:r>
        <w:t xml:space="preserve">”</w:t>
      </w:r>
      <w:r>
        <w:t xml:space="preserve">) begins at 12:01 a.m. local time at the Insured’s principal place of business on</w:t>
      </w:r>
      <w:r>
        <w:t xml:space="preserve"> </w:t>
      </w:r>
      <w:r>
        <w:rPr>
          <w:b/>
          <w:bCs/>
        </w:rPr>
        <w:t xml:space="preserve">April 1, 2026</w:t>
      </w:r>
      <w:r>
        <w:t xml:space="preserve"> </w:t>
      </w:r>
      <w:r>
        <w:t xml:space="preserve">and ends at 12:01 a.m. local time on</w:t>
      </w:r>
      <w:r>
        <w:t xml:space="preserve"> </w:t>
      </w:r>
      <w:r>
        <w:rPr>
          <w:b/>
          <w:bCs/>
        </w:rPr>
        <w:t xml:space="preserve">March 31, 2027</w:t>
      </w:r>
      <w:r>
        <w:t xml:space="preserve">, a period of twelve (12) consecutive months.</w:t>
      </w:r>
    </w:p>
    <w:p>
      <w:pPr>
        <w:pStyle w:val="BodyText"/>
      </w:pPr>
      <w:r>
        <w:rPr>
          <w:b/>
          <w:bCs/>
        </w:rPr>
        <w:t xml:space="preserve">2.2 Coverage Does Not Attach Before the Policy Period.</w:t>
      </w:r>
      <w:r>
        <w:t xml:space="preserve"> </w:t>
      </w:r>
      <w:r>
        <w:t xml:space="preserve">No coverage under the Program attaches, and no obligation of any issuing carrier arises, before the first day of the Policy Period. A loss, occurrence, claim, or circumstance that takes place before April 1, 2026 is not covered under the Program, whether or not it is reported during the Policy Period. Premium paid in advance of the Policy Period buys coverage for the Policy Period and for no earlier period.</w:t>
      </w:r>
    </w:p>
    <w:p>
      <w:pPr>
        <w:pStyle w:val="BodyText"/>
      </w:pPr>
      <w:r>
        <w:rPr>
          <w:b/>
          <w:bCs/>
        </w:rPr>
        <w:t xml:space="preserve">2.3 Prior Program.</w:t>
      </w:r>
      <w:r>
        <w:t xml:space="preserve"> </w:t>
      </w:r>
      <w:r>
        <w:t xml:space="preserve">The Insured’s prior commercial program expires by its own terms at 12:01 a.m. on April 1, 2026. Nothing in this Agreement extends, revives, or amends that program.</w:t>
      </w:r>
    </w:p>
    <w:bookmarkEnd w:id="11"/>
    <w:bookmarkStart w:id="12" w:name="coverage-parts-and-limits"/>
    <w:p>
      <w:pPr>
        <w:pStyle w:val="Heading2"/>
      </w:pPr>
      <w:r>
        <w:t xml:space="preserve">3. Coverage Parts and Limits</w:t>
      </w:r>
    </w:p>
    <w:p>
      <w:pPr>
        <w:pStyle w:val="FirstParagraph"/>
      </w:pPr>
      <w:r>
        <w:rPr>
          <w:b/>
          <w:bCs/>
        </w:rPr>
        <w:t xml:space="preserve">3.1 Coverage Parts.</w:t>
      </w:r>
      <w:r>
        <w:t xml:space="preserve"> </w:t>
      </w:r>
      <w:r>
        <w:t xml:space="preserve">The Program comprises the following coverage parts, each subject to the terms, conditions, and exclusions of the policy issued for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Coverage part</w:t>
            </w:r>
          </w:p>
        </w:tc>
        <w:tc>
          <w:tcPr/>
          <w:p>
            <w:pPr>
              <w:pStyle w:val="Compact"/>
            </w:pPr>
            <w:r>
              <w:t xml:space="preserve">Limit</w:t>
            </w:r>
          </w:p>
        </w:tc>
        <w:tc>
          <w:tcPr/>
          <w:p>
            <w:pPr>
              <w:pStyle w:val="Compact"/>
            </w:pPr>
            <w:r>
              <w:t xml:space="preserve">Retention or deductible</w:t>
            </w:r>
          </w:p>
        </w:tc>
      </w:tr>
      <w:tr>
        <w:tc>
          <w:tcPr/>
          <w:p>
            <w:pPr>
              <w:pStyle w:val="Compact"/>
            </w:pPr>
            <w:r>
              <w:t xml:space="preserve">Commercial general liability</w:t>
            </w:r>
          </w:p>
        </w:tc>
        <w:tc>
          <w:tcPr/>
          <w:p>
            <w:pPr>
              <w:pStyle w:val="Compact"/>
            </w:pPr>
            <w:r>
              <w:t xml:space="preserve">$2,000,000 each occurrence, $4,000,000 aggregate</w:t>
            </w:r>
          </w:p>
        </w:tc>
        <w:tc>
          <w:tcPr/>
          <w:p>
            <w:pPr>
              <w:pStyle w:val="Compact"/>
            </w:pPr>
            <w:r>
              <w:t xml:space="preserve">$25,000 each occurrence</w:t>
            </w:r>
          </w:p>
        </w:tc>
      </w:tr>
      <w:tr>
        <w:tc>
          <w:tcPr/>
          <w:p>
            <w:pPr>
              <w:pStyle w:val="Compact"/>
            </w:pPr>
            <w:r>
              <w:t xml:space="preserve">Commercial property, including business personal property and tenant improvements</w:t>
            </w:r>
          </w:p>
        </w:tc>
        <w:tc>
          <w:tcPr/>
          <w:p>
            <w:pPr>
              <w:pStyle w:val="Compact"/>
            </w:pPr>
            <w:r>
              <w:t xml:space="preserve">$18,500,000 blanket</w:t>
            </w:r>
          </w:p>
        </w:tc>
        <w:tc>
          <w:tcPr/>
          <w:p>
            <w:pPr>
              <w:pStyle w:val="Compact"/>
            </w:pPr>
            <w:r>
              <w:t xml:space="preserve">$50,000 each occurrence</w:t>
            </w:r>
          </w:p>
        </w:tc>
      </w:tr>
      <w:tr>
        <w:tc>
          <w:tcPr/>
          <w:p>
            <w:pPr>
              <w:pStyle w:val="Compact"/>
            </w:pPr>
            <w:r>
              <w:t xml:space="preserve">Business interruption and extra expense</w:t>
            </w:r>
          </w:p>
        </w:tc>
        <w:tc>
          <w:tcPr/>
          <w:p>
            <w:pPr>
              <w:pStyle w:val="Compact"/>
            </w:pPr>
            <w:r>
              <w:t xml:space="preserve">$9,000,000, twelve month indemnity period</w:t>
            </w:r>
          </w:p>
        </w:tc>
        <w:tc>
          <w:tcPr/>
          <w:p>
            <w:pPr>
              <w:pStyle w:val="Compact"/>
            </w:pPr>
            <w:r>
              <w:t xml:space="preserve">72 hour waiting period</w:t>
            </w:r>
          </w:p>
        </w:tc>
      </w:tr>
      <w:tr>
        <w:tc>
          <w:tcPr/>
          <w:p>
            <w:pPr>
              <w:pStyle w:val="Compact"/>
            </w:pPr>
            <w:r>
              <w:t xml:space="preserve">Cyber liability and privacy, including breach response</w:t>
            </w:r>
          </w:p>
        </w:tc>
        <w:tc>
          <w:tcPr/>
          <w:p>
            <w:pPr>
              <w:pStyle w:val="Compact"/>
            </w:pPr>
            <w:r>
              <w:t xml:space="preserve">$10,000,000 aggregate</w:t>
            </w:r>
          </w:p>
        </w:tc>
        <w:tc>
          <w:tcPr/>
          <w:p>
            <w:pPr>
              <w:pStyle w:val="Compact"/>
            </w:pPr>
            <w:r>
              <w:t xml:space="preserve">$250,000 each claim</w:t>
            </w:r>
          </w:p>
        </w:tc>
      </w:tr>
      <w:tr>
        <w:tc>
          <w:tcPr/>
          <w:p>
            <w:pPr>
              <w:pStyle w:val="Compact"/>
            </w:pPr>
            <w:r>
              <w:t xml:space="preserve">Technology errors and omissions</w:t>
            </w:r>
          </w:p>
        </w:tc>
        <w:tc>
          <w:tcPr/>
          <w:p>
            <w:pPr>
              <w:pStyle w:val="Compact"/>
            </w:pPr>
            <w:r>
              <w:t xml:space="preserve">$10,000,000 aggregate</w:t>
            </w:r>
          </w:p>
        </w:tc>
        <w:tc>
          <w:tcPr/>
          <w:p>
            <w:pPr>
              <w:pStyle w:val="Compact"/>
            </w:pPr>
            <w:r>
              <w:t xml:space="preserve">$250,000 each claim</w:t>
            </w:r>
          </w:p>
        </w:tc>
      </w:tr>
      <w:tr>
        <w:tc>
          <w:tcPr/>
          <w:p>
            <w:pPr>
              <w:pStyle w:val="Compact"/>
            </w:pPr>
            <w:r>
              <w:t xml:space="preserve">Directors and officers liability</w:t>
            </w:r>
          </w:p>
        </w:tc>
        <w:tc>
          <w:tcPr/>
          <w:p>
            <w:pPr>
              <w:pStyle w:val="Compact"/>
            </w:pPr>
            <w:r>
              <w:t xml:space="preserve">$15,000,000 aggregate</w:t>
            </w:r>
          </w:p>
        </w:tc>
        <w:tc>
          <w:tcPr/>
          <w:p>
            <w:pPr>
              <w:pStyle w:val="Compact"/>
            </w:pPr>
            <w:r>
              <w:t xml:space="preserve">$500,000 each claim, securities</w:t>
            </w:r>
          </w:p>
        </w:tc>
      </w:tr>
      <w:tr>
        <w:tc>
          <w:tcPr/>
          <w:p>
            <w:pPr>
              <w:pStyle w:val="Compact"/>
            </w:pPr>
            <w:r>
              <w:t xml:space="preserve">Employment practices liability</w:t>
            </w:r>
          </w:p>
        </w:tc>
        <w:tc>
          <w:tcPr/>
          <w:p>
            <w:pPr>
              <w:pStyle w:val="Compact"/>
            </w:pPr>
            <w:r>
              <w:t xml:space="preserve">$5,000,000 aggregate</w:t>
            </w:r>
          </w:p>
        </w:tc>
        <w:tc>
          <w:tcPr/>
          <w:p>
            <w:pPr>
              <w:pStyle w:val="Compact"/>
            </w:pPr>
            <w:r>
              <w:t xml:space="preserve">$250,000 each claim</w:t>
            </w:r>
          </w:p>
        </w:tc>
      </w:tr>
      <w:tr>
        <w:tc>
          <w:tcPr/>
          <w:p>
            <w:pPr>
              <w:pStyle w:val="Compact"/>
            </w:pPr>
            <w:r>
              <w:t xml:space="preserve">Fiduciary liability</w:t>
            </w:r>
          </w:p>
        </w:tc>
        <w:tc>
          <w:tcPr/>
          <w:p>
            <w:pPr>
              <w:pStyle w:val="Compact"/>
            </w:pPr>
            <w:r>
              <w:t xml:space="preserve">$5,000,000 aggregate</w:t>
            </w:r>
          </w:p>
        </w:tc>
        <w:tc>
          <w:tcPr/>
          <w:p>
            <w:pPr>
              <w:pStyle w:val="Compact"/>
            </w:pPr>
            <w:r>
              <w:t xml:space="preserve">$25,000 each claim</w:t>
            </w:r>
          </w:p>
        </w:tc>
      </w:tr>
      <w:tr>
        <w:tc>
          <w:tcPr/>
          <w:p>
            <w:pPr>
              <w:pStyle w:val="Compact"/>
            </w:pPr>
            <w:r>
              <w:t xml:space="preserve">Crime, including funds transfer fraud and social engineering</w:t>
            </w:r>
          </w:p>
        </w:tc>
        <w:tc>
          <w:tcPr/>
          <w:p>
            <w:pPr>
              <w:pStyle w:val="Compact"/>
            </w:pPr>
            <w:r>
              <w:t xml:space="preserve">$3,000,000 aggregate</w:t>
            </w:r>
          </w:p>
        </w:tc>
        <w:tc>
          <w:tcPr/>
          <w:p>
            <w:pPr>
              <w:pStyle w:val="Compact"/>
            </w:pPr>
            <w:r>
              <w:t xml:space="preserve">$100,000 each loss</w:t>
            </w:r>
          </w:p>
        </w:tc>
      </w:tr>
      <w:tr>
        <w:tc>
          <w:tcPr/>
          <w:p>
            <w:pPr>
              <w:pStyle w:val="Compact"/>
            </w:pPr>
            <w:r>
              <w:t xml:space="preserve">Commercial umbrella, excess of the general liability and employment practices layers</w:t>
            </w:r>
          </w:p>
        </w:tc>
        <w:tc>
          <w:tcPr/>
          <w:p>
            <w:pPr>
              <w:pStyle w:val="Compact"/>
            </w:pPr>
            <w:r>
              <w:t xml:space="preserve">$10,000,000 aggregate</w:t>
            </w:r>
          </w:p>
        </w:tc>
        <w:tc>
          <w:tcPr/>
          <w:p>
            <w:pPr>
              <w:pStyle w:val="Compact"/>
            </w:pPr>
            <w:r>
              <w:t xml:space="preserve">Underlying limits</w:t>
            </w:r>
          </w:p>
        </w:tc>
      </w:tr>
    </w:tbl>
    <w:p>
      <w:pPr>
        <w:pStyle w:val="BodyText"/>
      </w:pPr>
      <w:r>
        <w:rPr>
          <w:b/>
          <w:bCs/>
        </w:rPr>
        <w:t xml:space="preserve">3.2 Named Insured and Additional Insureds.</w:t>
      </w:r>
      <w:r>
        <w:t xml:space="preserve"> </w:t>
      </w:r>
      <w:r>
        <w:t xml:space="preserve">The Insured is the first named insured under every coverage part. Millgate will add additional insureds and loss payees on the Insured’s written instruction, and will issue the corresponding certificates under Section 8.</w:t>
      </w:r>
    </w:p>
    <w:p>
      <w:pPr>
        <w:pStyle w:val="BodyText"/>
      </w:pPr>
      <w:r>
        <w:rPr>
          <w:b/>
          <w:bCs/>
        </w:rPr>
        <w:t xml:space="preserve">3.3 Changes During the Policy Period.</w:t>
      </w:r>
      <w:r>
        <w:t xml:space="preserve"> </w:t>
      </w:r>
      <w:r>
        <w:t xml:space="preserve">A change to a limit, retention, coverage part, or named insured requires an endorsement issued by the affected carrier. Millgate will request the endorsement within three (3) business days of the Insured’s written instruction and will notify the Insured of any premium adjustment under Section 5 before the endorsement is bound.</w:t>
      </w:r>
    </w:p>
    <w:bookmarkEnd w:id="12"/>
    <w:bookmarkStart w:id="13" w:name="premium-invoicing-and-payment"/>
    <w:p>
      <w:pPr>
        <w:pStyle w:val="Heading2"/>
      </w:pPr>
      <w:r>
        <w:t xml:space="preserve">4. Premium, Invoicing, and Payment</w:t>
      </w:r>
    </w:p>
    <w:p>
      <w:pPr>
        <w:pStyle w:val="FirstParagraph"/>
      </w:pPr>
      <w:r>
        <w:rPr>
          <w:b/>
          <w:bCs/>
        </w:rPr>
        <w:t xml:space="preserve">4.1 Annual Premium.</w:t>
      </w:r>
      <w:r>
        <w:t xml:space="preserve"> </w:t>
      </w:r>
      <w:r>
        <w:t xml:space="preserve">The annual premium for the Program for the Policy Period is</w:t>
      </w:r>
      <w:r>
        <w:t xml:space="preserve"> </w:t>
      </w:r>
      <w:r>
        <w:rPr>
          <w:b/>
          <w:bCs/>
        </w:rPr>
        <w:t xml:space="preserve">three hundred twelve thousand dollars ($312,000.00)</w:t>
      </w:r>
      <w:r>
        <w:t xml:space="preserve"> </w:t>
      </w:r>
      <w:r>
        <w:t xml:space="preserve">(the</w:t>
      </w:r>
      <w:r>
        <w:t xml:space="preserve"> </w:t>
      </w:r>
      <w:r>
        <w:t xml:space="preserve">“</w:t>
      </w:r>
      <w:r>
        <w:rPr>
          <w:b/>
          <w:bCs/>
        </w:rPr>
        <w:t xml:space="preserve">Annual Premium</w:t>
      </w:r>
      <w:r>
        <w:t xml:space="preserve">”</w:t>
      </w:r>
      <w:r>
        <w:t xml:space="preserve">). The Annual Premium comprises the carrier premiums, taxes, and fees allocated in Schedule A, together with the facilities services fee described in Section 11.</w:t>
      </w:r>
    </w:p>
    <w:p>
      <w:pPr>
        <w:pStyle w:val="BodyText"/>
      </w:pPr>
      <w:r>
        <w:rPr>
          <w:b/>
          <w:bCs/>
        </w:rPr>
        <w:t xml:space="preserve">4.2 Payable in Advance.</w:t>
      </w:r>
      <w:r>
        <w:t xml:space="preserve"> </w:t>
      </w:r>
      <w:r>
        <w:t xml:space="preserve">The Annual Premium is payable in advance, in full, for the entire Policy Period. The Program is not placed on an instalment or premium finance basis, and no part of the Annual Premium is billed monthly or quarterly.</w:t>
      </w:r>
    </w:p>
    <w:p>
      <w:pPr>
        <w:pStyle w:val="BodyText"/>
      </w:pPr>
      <w:r>
        <w:rPr>
          <w:b/>
          <w:bCs/>
        </w:rPr>
        <w:t xml:space="preserve">4.3 Invoice and Payment Terms.</w:t>
      </w:r>
      <w:r>
        <w:t xml:space="preserve"> </w:t>
      </w:r>
      <w:r>
        <w:t xml:space="preserve">Millgate invoiced the Annual Premium on</w:t>
      </w:r>
      <w:r>
        <w:t xml:space="preserve"> </w:t>
      </w:r>
      <w:r>
        <w:rPr>
          <w:b/>
          <w:bCs/>
        </w:rPr>
        <w:t xml:space="preserve">March 24, 2026</w:t>
      </w:r>
      <w:r>
        <w:t xml:space="preserve">. The Insured will pay the invoice in full within thirty (30) days after the invoice date, in U.S. dollars, by electronic funds transfer to the account Millgate designates in writing. Payment is therefore due on</w:t>
      </w:r>
      <w:r>
        <w:t xml:space="preserve"> </w:t>
      </w:r>
      <w:r>
        <w:rPr>
          <w:b/>
          <w:bCs/>
        </w:rPr>
        <w:t xml:space="preserve">April 23, 2026</w:t>
      </w:r>
      <w:r>
        <w:t xml:space="preserve">.</w:t>
      </w:r>
    </w:p>
    <w:p>
      <w:pPr>
        <w:pStyle w:val="BodyText"/>
      </w:pPr>
      <w:r>
        <w:rPr>
          <w:b/>
          <w:bCs/>
        </w:rPr>
        <w:t xml:space="preserve">4.4 Premium Is Earned Ratably.</w:t>
      </w:r>
      <w:r>
        <w:t xml:space="preserve"> </w:t>
      </w:r>
      <w:r>
        <w:t xml:space="preserve">The Annual Premium is fully earned ratably across the twelve (12) months of the Policy Period, in equal monthly proportions, beginning with the first month of the Policy Period. No portion of the Annual Premium is earned before the Policy Period begins.</w:t>
      </w:r>
    </w:p>
    <w:p>
      <w:pPr>
        <w:pStyle w:val="BodyText"/>
      </w:pPr>
      <w:r>
        <w:rPr>
          <w:b/>
          <w:bCs/>
        </w:rPr>
        <w:t xml:space="preserve">4.5 Change of Remittance Instructions.</w:t>
      </w:r>
      <w:r>
        <w:t xml:space="preserve"> </w:t>
      </w:r>
      <w:r>
        <w:t xml:space="preserve">Millgate will not change its remittance instructions except by written notice signed by an officer of Millgate and confirmed by the Insured by telephone to a previously known contact at Millgate. The Insured is not obliged to act on payment instructions delivered by any other means, and a payment made against instructions that were not confirmed in this way does not discharge the Insured’s obligation under Section 4.3.</w:t>
      </w:r>
    </w:p>
    <w:p>
      <w:pPr>
        <w:pStyle w:val="BodyText"/>
      </w:pPr>
      <w:r>
        <w:rPr>
          <w:b/>
          <w:bCs/>
        </w:rPr>
        <w:t xml:space="preserve">4.6 Late Payment.</w:t>
      </w:r>
      <w:r>
        <w:t xml:space="preserve"> </w:t>
      </w:r>
      <w:r>
        <w:t xml:space="preserve">An undisputed amount that remains unpaid more than fifteen (15) days after its due date accrues interest at one percent (1%) a month, or the maximum rate permitted by law if lower, from the due date until paid. Non-payment may also give an issuing carrier a right to cancel its policy for non-payment of premium under that policy’s own terms.</w:t>
      </w:r>
    </w:p>
    <w:bookmarkEnd w:id="13"/>
    <w:bookmarkStart w:id="14" w:name="premium-adjustment-and-audit"/>
    <w:p>
      <w:pPr>
        <w:pStyle w:val="Heading2"/>
      </w:pPr>
      <w:r>
        <w:t xml:space="preserve">5. Premium Adjustment and Audit</w:t>
      </w:r>
    </w:p>
    <w:p>
      <w:pPr>
        <w:pStyle w:val="FirstParagraph"/>
      </w:pPr>
      <w:r>
        <w:rPr>
          <w:b/>
          <w:bCs/>
        </w:rPr>
        <w:t xml:space="preserve">5.1 Exposure Basis.</w:t>
      </w:r>
      <w:r>
        <w:t xml:space="preserve"> </w:t>
      </w:r>
      <w:r>
        <w:t xml:space="preserve">The Annual Premium is based on the exposure figures the Insured provided on the application dated February 27, 2026, including headcount, payroll, revenue, and insured property values.</w:t>
      </w:r>
    </w:p>
    <w:p>
      <w:pPr>
        <w:pStyle w:val="BodyText"/>
      </w:pPr>
      <w:r>
        <w:rPr>
          <w:b/>
          <w:bCs/>
        </w:rPr>
        <w:t xml:space="preserve">5.2 Mid-Term Adjustments.</w:t>
      </w:r>
      <w:r>
        <w:t xml:space="preserve"> </w:t>
      </w:r>
      <w:r>
        <w:t xml:space="preserve">An endorsement issued under Section 3.3 that increases exposure gives rise to an additional premium calculated pro rata for the unexpired part of the Policy Period. An endorsement that reduces exposure gives rise to a return premium calculated pro rata, except where the affected carrier’s policy provides for a minimum earned premium.</w:t>
      </w:r>
    </w:p>
    <w:p>
      <w:pPr>
        <w:pStyle w:val="BodyText"/>
      </w:pPr>
      <w:r>
        <w:rPr>
          <w:b/>
          <w:bCs/>
        </w:rPr>
        <w:t xml:space="preserve">5.3 Audit.</w:t>
      </w:r>
      <w:r>
        <w:t xml:space="preserve"> </w:t>
      </w:r>
      <w:r>
        <w:t xml:space="preserve">Coverage parts marked as auditable in Schedule A are subject to a premium audit within ninety (90) days after the end of the Policy Period. Any additional or return premium determined by that audit is invoiced or credited within thirty (30) days after the audit report is issued.</w:t>
      </w:r>
    </w:p>
    <w:p>
      <w:pPr>
        <w:pStyle w:val="BodyText"/>
      </w:pPr>
      <w:r>
        <w:rPr>
          <w:b/>
          <w:bCs/>
        </w:rPr>
        <w:t xml:space="preserve">5.4 Minimum Earned Premium.</w:t>
      </w:r>
      <w:r>
        <w:t xml:space="preserve"> </w:t>
      </w:r>
      <w:r>
        <w:t xml:space="preserve">Twenty five percent (25%) of the Annual Premium is minimum earned premium at inception and is not returnable under Section 7 or Section 5.2, except where the Program is cancelled under Section 7.3.</w:t>
      </w:r>
    </w:p>
    <w:bookmarkEnd w:id="14"/>
    <w:bookmarkStart w:id="15" w:name="renewal"/>
    <w:p>
      <w:pPr>
        <w:pStyle w:val="Heading2"/>
      </w:pPr>
      <w:r>
        <w:t xml:space="preserve">6. Renewal</w:t>
      </w:r>
    </w:p>
    <w:p>
      <w:pPr>
        <w:pStyle w:val="FirstParagraph"/>
      </w:pPr>
      <w:r>
        <w:rPr>
          <w:b/>
          <w:bCs/>
        </w:rPr>
        <w:t xml:space="preserve">6.1 Renewal Terms.</w:t>
      </w:r>
      <w:r>
        <w:t xml:space="preserve"> </w:t>
      </w:r>
      <w:r>
        <w:t xml:space="preserve">Millgate will deliver written renewal terms for the Program to the Insured not less than forty five (45) days before the last day of the Policy Period. The renewal terms will state, for each coverage part, the proposed limit, retention, carrier, and premium for the following twelve month period.</w:t>
      </w:r>
    </w:p>
    <w:p>
      <w:pPr>
        <w:pStyle w:val="BodyText"/>
      </w:pPr>
      <w:r>
        <w:rPr>
          <w:b/>
          <w:bCs/>
        </w:rPr>
        <w:t xml:space="preserve">6.2 Automatic Renewal.</w:t>
      </w:r>
      <w:r>
        <w:t xml:space="preserve"> </w:t>
      </w:r>
      <w:r>
        <w:t xml:space="preserve">Unless a Party delivers a written notice of non-renewal not less than thirty (30) days before the last day of the Policy Period, the Program renews for a further twelve (12) month period on the terms set out in the renewal terms delivered under Section 6.1, and this Agreement continues to govern it.</w:t>
      </w:r>
    </w:p>
    <w:p>
      <w:pPr>
        <w:pStyle w:val="BodyText"/>
      </w:pPr>
      <w:r>
        <w:rPr>
          <w:b/>
          <w:bCs/>
        </w:rPr>
        <w:t xml:space="preserve">6.3 Late Renewal Terms.</w:t>
      </w:r>
      <w:r>
        <w:t xml:space="preserve"> </w:t>
      </w:r>
      <w:r>
        <w:t xml:space="preserve">If Millgate fails to deliver the renewal terms by the date required by Section 6.1, the deadline for the Insured to deliver a notice of non-renewal is extended to the date that is fifteen (15) days after Millgate’s actual delivery of the renewal terms, and the Insured may cancel any renewal bound in the interim without a short-rate penalty under Section 7.</w:t>
      </w:r>
    </w:p>
    <w:p>
      <w:pPr>
        <w:pStyle w:val="BodyText"/>
      </w:pPr>
      <w:r>
        <w:rPr>
          <w:b/>
          <w:bCs/>
        </w:rPr>
        <w:t xml:space="preserve">6.4 No Automatic Premium Increase.</w:t>
      </w:r>
      <w:r>
        <w:t xml:space="preserve"> </w:t>
      </w:r>
      <w:r>
        <w:t xml:space="preserve">Renewal premium is the premium stated in the renewal terms. This Agreement does not provide for an automatic uplift, and no increase applies unless it appears in renewal terms the Insured has received.</w:t>
      </w:r>
    </w:p>
    <w:bookmarkEnd w:id="15"/>
    <w:bookmarkStart w:id="16" w:name="cancellation-and-short-rate-refund"/>
    <w:p>
      <w:pPr>
        <w:pStyle w:val="Heading2"/>
      </w:pPr>
      <w:r>
        <w:t xml:space="preserve">7. Cancellation and Short-Rate Refund</w:t>
      </w:r>
    </w:p>
    <w:p>
      <w:pPr>
        <w:pStyle w:val="FirstParagraph"/>
      </w:pPr>
      <w:r>
        <w:rPr>
          <w:b/>
          <w:bCs/>
        </w:rPr>
        <w:t xml:space="preserve">7.1 Cancellation by the Insured.</w:t>
      </w:r>
      <w:r>
        <w:t xml:space="preserve"> </w:t>
      </w:r>
      <w:r>
        <w:t xml:space="preserve">The Insured may cancel the Program, in whole or as to any coverage part, at any time by written notice to Millgate stating the effective date of cancellation, which may not be earlier than the date the notice is delivered.</w:t>
      </w:r>
    </w:p>
    <w:p>
      <w:pPr>
        <w:pStyle w:val="BodyText"/>
      </w:pPr>
      <w:r>
        <w:rPr>
          <w:b/>
          <w:bCs/>
        </w:rPr>
        <w:t xml:space="preserve">7.2 Short-Rate Refund.</w:t>
      </w:r>
      <w:r>
        <w:t xml:space="preserve"> </w:t>
      </w:r>
      <w:r>
        <w:t xml:space="preserve">Where the Insured cancels under Section 7.1, the return premium is calculated on a</w:t>
      </w:r>
      <w:r>
        <w:t xml:space="preserve"> </w:t>
      </w:r>
      <w:r>
        <w:rPr>
          <w:b/>
          <w:bCs/>
        </w:rPr>
        <w:t xml:space="preserve">short-rate</w:t>
      </w:r>
      <w:r>
        <w:t xml:space="preserve"> </w:t>
      </w:r>
      <w:r>
        <w:t xml:space="preserve">basis: ninety percent (90%) of the pro rata unearned premium for the unexpired part of the Policy Period, subject to the minimum earned premium in Section 5.4. The ten percent (10%) retained by the Program covers the acquisition and administration costs already incurred for the full Policy Period. Return premium is paid within thirty (30) days after the effective date of cancellation.</w:t>
      </w:r>
    </w:p>
    <w:p>
      <w:pPr>
        <w:pStyle w:val="BodyText"/>
      </w:pPr>
      <w:r>
        <w:rPr>
          <w:b/>
          <w:bCs/>
        </w:rPr>
        <w:t xml:space="preserve">7.3 Cancellation by a Carrier or by Millgate.</w:t>
      </w:r>
      <w:r>
        <w:t xml:space="preserve"> </w:t>
      </w:r>
      <w:r>
        <w:t xml:space="preserve">Where an issuing carrier or Millgate cancels a coverage part other than for non-payment of premium or material misrepresentation, the return premium for that coverage part is calculated</w:t>
      </w:r>
      <w:r>
        <w:t xml:space="preserve"> </w:t>
      </w:r>
      <w:r>
        <w:rPr>
          <w:b/>
          <w:bCs/>
        </w:rPr>
        <w:t xml:space="preserve">pro rata</w:t>
      </w:r>
      <w:r>
        <w:t xml:space="preserve"> </w:t>
      </w:r>
      <w:r>
        <w:t xml:space="preserve">for the unexpired part of the Policy Period, with no short-rate reduction and without regard to the minimum earned premium.</w:t>
      </w:r>
    </w:p>
    <w:p>
      <w:pPr>
        <w:pStyle w:val="BodyText"/>
      </w:pPr>
      <w:r>
        <w:rPr>
          <w:b/>
          <w:bCs/>
        </w:rPr>
        <w:t xml:space="preserve">7.4 Effect on Amortization.</w:t>
      </w:r>
      <w:r>
        <w:t xml:space="preserve"> </w:t>
      </w:r>
      <w:r>
        <w:t xml:space="preserve">The Parties acknowledge that the Annual Premium buys twelve months of coverage, is earned ratably under Section 4.4, and is refundable only as provided in this Section 7. Nothing in this Section 7 changes the rate at which the Annual Premium is earned during the period the Program remains in force.</w:t>
      </w:r>
    </w:p>
    <w:bookmarkEnd w:id="16"/>
    <w:bookmarkStart w:id="17" w:name="certificates-of-insurance"/>
    <w:p>
      <w:pPr>
        <w:pStyle w:val="Heading2"/>
      </w:pPr>
      <w:r>
        <w:t xml:space="preserve">8. Certificates of Insurance</w:t>
      </w:r>
    </w:p>
    <w:p>
      <w:pPr>
        <w:pStyle w:val="FirstParagraph"/>
      </w:pPr>
      <w:r>
        <w:rPr>
          <w:b/>
          <w:bCs/>
        </w:rPr>
        <w:t xml:space="preserve">8.1 Issuance.</w:t>
      </w:r>
      <w:r>
        <w:t xml:space="preserve"> </w:t>
      </w:r>
      <w:r>
        <w:t xml:space="preserve">Millgate will issue certificates of insurance on the Insured’s written request within two (2) business days, and will maintain a register of certificates issued, the holder, and the coverage parts evidenced.</w:t>
      </w:r>
    </w:p>
    <w:p>
      <w:pPr>
        <w:pStyle w:val="BodyText"/>
      </w:pPr>
      <w:r>
        <w:rPr>
          <w:b/>
          <w:bCs/>
        </w:rPr>
        <w:t xml:space="preserve">8.2 Standing Requests.</w:t>
      </w:r>
      <w:r>
        <w:t xml:space="preserve"> </w:t>
      </w:r>
      <w:r>
        <w:t xml:space="preserve">Millgate will issue and reissue certificates automatically for the holders on the standing list the Insured maintains with Millgate, including at each renewal and on each endorsement that changes a limit shown on a certificate.</w:t>
      </w:r>
    </w:p>
    <w:p>
      <w:pPr>
        <w:pStyle w:val="BodyText"/>
      </w:pPr>
      <w:r>
        <w:rPr>
          <w:b/>
          <w:bCs/>
        </w:rPr>
        <w:t xml:space="preserve">8.3 Certificates Are Evidence Only.</w:t>
      </w:r>
      <w:r>
        <w:t xml:space="preserve"> </w:t>
      </w:r>
      <w:r>
        <w:t xml:space="preserve">A certificate of insurance is evidence of coverage as at its date of issue. It does not amend, extend, or alter the coverage provided by the policies to which it refers.</w:t>
      </w:r>
    </w:p>
    <w:bookmarkEnd w:id="17"/>
    <w:bookmarkStart w:id="18" w:name="claims-handling-and-notice"/>
    <w:p>
      <w:pPr>
        <w:pStyle w:val="Heading2"/>
      </w:pPr>
      <w:r>
        <w:t xml:space="preserve">9. Claims Handling and Notice</w:t>
      </w:r>
    </w:p>
    <w:p>
      <w:pPr>
        <w:pStyle w:val="FirstParagraph"/>
      </w:pPr>
      <w:r>
        <w:rPr>
          <w:b/>
          <w:bCs/>
        </w:rPr>
        <w:t xml:space="preserve">9.1 Notice of Claim.</w:t>
      </w:r>
      <w:r>
        <w:t xml:space="preserve"> </w:t>
      </w:r>
      <w:r>
        <w:t xml:space="preserve">The Insured will give Millgate notice of any claim, occurrence, or circumstance that may give rise to a claim as soon as practicable after it becomes known to the Insured’s risk, legal, or finance function. Millgate will report that notice to the affected carrier within one (1) business day.</w:t>
      </w:r>
    </w:p>
    <w:p>
      <w:pPr>
        <w:pStyle w:val="BodyText"/>
      </w:pPr>
      <w:r>
        <w:rPr>
          <w:b/>
          <w:bCs/>
        </w:rPr>
        <w:t xml:space="preserve">9.2 Advocacy.</w:t>
      </w:r>
      <w:r>
        <w:t xml:space="preserve"> </w:t>
      </w:r>
      <w:r>
        <w:t xml:space="preserve">Millgate will act as the Insured’s advocate in the handling of reported claims, will provide a quarterly claims summary, and will notify the Insured within five (5) business days of any reservation of rights or coverage position taken by a carrier.</w:t>
      </w:r>
    </w:p>
    <w:p>
      <w:pPr>
        <w:pStyle w:val="BodyText"/>
      </w:pPr>
      <w:r>
        <w:rPr>
          <w:b/>
          <w:bCs/>
        </w:rPr>
        <w:t xml:space="preserve">9.3 No Settlement Authority.</w:t>
      </w:r>
      <w:r>
        <w:t xml:space="preserve"> </w:t>
      </w:r>
      <w:r>
        <w:t xml:space="preserve">Millgate has no authority to settle, compromise, or admit liability on any claim on the Insured’s behalf.</w:t>
      </w:r>
    </w:p>
    <w:bookmarkEnd w:id="18"/>
    <w:bookmarkStart w:id="19" w:name="broker-compensation-and-disclosure"/>
    <w:p>
      <w:pPr>
        <w:pStyle w:val="Heading2"/>
      </w:pPr>
      <w:r>
        <w:t xml:space="preserve">10. Broker Compensation and Disclosure</w:t>
      </w:r>
    </w:p>
    <w:p>
      <w:pPr>
        <w:pStyle w:val="FirstParagraph"/>
      </w:pPr>
      <w:r>
        <w:rPr>
          <w:b/>
          <w:bCs/>
        </w:rPr>
        <w:t xml:space="preserve">10.1 Compensation.</w:t>
      </w:r>
      <w:r>
        <w:t xml:space="preserve"> </w:t>
      </w:r>
      <w:r>
        <w:t xml:space="preserve">Millgate is compensated for the Program by commission paid by the issuing carriers out of the carrier premium allocated in Schedule A, and by the facilities services fee in Section 11. Millgate charges the Insured no separate placement or brokerage fee for the Policy Period.</w:t>
      </w:r>
    </w:p>
    <w:p>
      <w:pPr>
        <w:pStyle w:val="BodyText"/>
      </w:pPr>
      <w:r>
        <w:rPr>
          <w:b/>
          <w:bCs/>
        </w:rPr>
        <w:t xml:space="preserve">10.2 Disclosure.</w:t>
      </w:r>
      <w:r>
        <w:t xml:space="preserve"> </w:t>
      </w:r>
      <w:r>
        <w:t xml:space="preserve">Millgate will disclose to the Insured, on written request and within ten (10) business days, the commission rate applicable to each coverage part and any contingent or profit-sharing compensation Millgate expects to receive in connection with the Program.</w:t>
      </w:r>
    </w:p>
    <w:bookmarkEnd w:id="19"/>
    <w:bookmarkStart w:id="20" w:name="facilities-services-component"/>
    <w:p>
      <w:pPr>
        <w:pStyle w:val="Heading2"/>
      </w:pPr>
      <w:r>
        <w:t xml:space="preserve">11. Facilities Services Component</w:t>
      </w:r>
    </w:p>
    <w:p>
      <w:pPr>
        <w:pStyle w:val="FirstParagraph"/>
      </w:pPr>
      <w:r>
        <w:rPr>
          <w:b/>
          <w:bCs/>
        </w:rPr>
        <w:t xml:space="preserve">11.1 Services.</w:t>
      </w:r>
      <w:r>
        <w:t xml:space="preserve"> </w:t>
      </w:r>
      <w:r>
        <w:t xml:space="preserve">For the Policy Period, Millgate will provide the following facilities risk services at the Insured’s Suite 600 premises and at any additional location the Insured adds under Section 3.3: an annual property risk survey and written report; two (2) loss control visits; business continuity plan review; contractor and vendor certificate verification; and coordination of carrier engineering recommendations.</w:t>
      </w:r>
    </w:p>
    <w:p>
      <w:pPr>
        <w:pStyle w:val="BodyText"/>
      </w:pPr>
      <w:r>
        <w:rPr>
          <w:b/>
          <w:bCs/>
        </w:rPr>
        <w:t xml:space="preserve">11.2 Fee.</w:t>
      </w:r>
      <w:r>
        <w:t xml:space="preserve"> </w:t>
      </w:r>
      <w:r>
        <w:t xml:space="preserve">The fee for the services in Section 11.1 is included in the Annual Premium and is allocated in Schedule A. It is earned ratably across the Policy Period on the same basis as the carrier premium.</w:t>
      </w:r>
    </w:p>
    <w:p>
      <w:pPr>
        <w:pStyle w:val="BodyText"/>
      </w:pPr>
      <w:r>
        <w:rPr>
          <w:b/>
          <w:bCs/>
        </w:rPr>
        <w:t xml:space="preserve">11.3 Scheduling.</w:t>
      </w:r>
      <w:r>
        <w:t xml:space="preserve"> </w:t>
      </w:r>
      <w:r>
        <w:t xml:space="preserve">The property risk survey will be completed within the first ninety (90) days of the Policy Period. Loss control visits will be scheduled by agreement, and Millgate will offer at least three (3) dates for each visit.</w:t>
      </w:r>
    </w:p>
    <w:bookmarkEnd w:id="20"/>
    <w:bookmarkStart w:id="21" w:name="confidentiality"/>
    <w:p>
      <w:pPr>
        <w:pStyle w:val="Heading2"/>
      </w:pPr>
      <w:r>
        <w:t xml:space="preserve">12. Confidentiality</w:t>
      </w:r>
    </w:p>
    <w:p>
      <w:pPr>
        <w:pStyle w:val="FirstParagraph"/>
      </w:pPr>
      <w:r>
        <w:rPr>
          <w:b/>
          <w:bCs/>
        </w:rPr>
        <w:t xml:space="preserve">12.1 Confidential Information.</w:t>
      </w:r>
      <w:r>
        <w:t xml:space="preserve"> </w:t>
      </w:r>
      <w:r>
        <w:t xml:space="preserve">Each Party will treat as confidential the non-public information the other Party discloses in connection with the Program, including the Insured’s exposure data, claims history, and premium, and will use it only to perform this Agreement.</w:t>
      </w:r>
    </w:p>
    <w:p>
      <w:pPr>
        <w:pStyle w:val="BodyText"/>
      </w:pPr>
      <w:r>
        <w:rPr>
          <w:b/>
          <w:bCs/>
        </w:rPr>
        <w:t xml:space="preserve">12.2 Exceptions.</w:t>
      </w:r>
      <w:r>
        <w:t xml:space="preserve"> </w:t>
      </w:r>
      <w:r>
        <w:t xml:space="preserve">Section 12.1 does not apply to information that is or becomes public through no fault of the receiving Party, was known to the receiving Party without a duty of confidence, is independently developed, or is required to be disclosed by law, regulation, or an issuing carrier’s underwriting process.</w:t>
      </w:r>
    </w:p>
    <w:bookmarkEnd w:id="21"/>
    <w:bookmarkStart w:id="22" w:name="term-termination-and-survival"/>
    <w:p>
      <w:pPr>
        <w:pStyle w:val="Heading2"/>
      </w:pPr>
      <w:r>
        <w:t xml:space="preserve">13. Term, Termination, and Survival</w:t>
      </w:r>
    </w:p>
    <w:p>
      <w:pPr>
        <w:pStyle w:val="FirstParagraph"/>
      </w:pPr>
      <w:r>
        <w:rPr>
          <w:b/>
          <w:bCs/>
        </w:rPr>
        <w:t xml:space="preserve">13.1 Term.</w:t>
      </w:r>
      <w:r>
        <w:t xml:space="preserve"> </w:t>
      </w:r>
      <w:r>
        <w:t xml:space="preserve">This Agreement begins on the Agreement Date and continues for the Policy Period and each renewal period bound under Section 6, unless terminated earlier under this Section 13.</w:t>
      </w:r>
    </w:p>
    <w:p>
      <w:pPr>
        <w:pStyle w:val="BodyText"/>
      </w:pPr>
      <w:r>
        <w:rPr>
          <w:b/>
          <w:bCs/>
        </w:rPr>
        <w:t xml:space="preserve">13.2 Termination for Breach.</w:t>
      </w:r>
      <w:r>
        <w:t xml:space="preserve"> </w:t>
      </w:r>
      <w:r>
        <w:t xml:space="preserve">Either Party may terminate this Agreement on thirty (30) days’ written notice of a material breach that the breaching Party has not cured within that period.</w:t>
      </w:r>
    </w:p>
    <w:p>
      <w:pPr>
        <w:pStyle w:val="BodyText"/>
      </w:pPr>
      <w:r>
        <w:rPr>
          <w:b/>
          <w:bCs/>
        </w:rPr>
        <w:t xml:space="preserve">13.3 Effect of Termination.</w:t>
      </w:r>
      <w:r>
        <w:t xml:space="preserve"> </w:t>
      </w:r>
      <w:r>
        <w:t xml:space="preserve">Termination of this Agreement does not by itself cancel any policy placed under the Program. A policy remains in force until it is cancelled under Section 7 or expires by its own terms.</w:t>
      </w:r>
    </w:p>
    <w:p>
      <w:pPr>
        <w:pStyle w:val="BodyText"/>
      </w:pPr>
      <w:r>
        <w:rPr>
          <w:b/>
          <w:bCs/>
        </w:rPr>
        <w:t xml:space="preserve">13.4 Survival.</w:t>
      </w:r>
      <w:r>
        <w:t xml:space="preserve"> </w:t>
      </w:r>
      <w:r>
        <w:t xml:space="preserve">Sections 4.4, 5.3, 7, 9.3, 10.2, 12, 13.4, and 15 survive termination or expiry of this Agreement.</w:t>
      </w:r>
    </w:p>
    <w:bookmarkEnd w:id="22"/>
    <w:bookmarkStart w:id="23" w:name="notices"/>
    <w:p>
      <w:pPr>
        <w:pStyle w:val="Heading2"/>
      </w:pPr>
      <w:r>
        <w:t xml:space="preserve">14. Notices</w:t>
      </w:r>
    </w:p>
    <w:p>
      <w:pPr>
        <w:pStyle w:val="FirstParagraph"/>
      </w:pPr>
      <w:r>
        <w:rPr>
          <w:b/>
          <w:bCs/>
        </w:rPr>
        <w:t xml:space="preserve">14.1 Form.</w:t>
      </w:r>
      <w:r>
        <w:t xml:space="preserve"> </w:t>
      </w:r>
      <w:r>
        <w:t xml:space="preserve">A notice under this Agreement must be in writing and delivered by hand, by nationally recognized overnight courier, or by email with confirmation of receipt, to the addresses on the first page or to such other address as a Party notifies under this Section 14.</w:t>
      </w:r>
    </w:p>
    <w:p>
      <w:pPr>
        <w:pStyle w:val="BodyText"/>
      </w:pPr>
      <w:r>
        <w:rPr>
          <w:b/>
          <w:bCs/>
        </w:rPr>
        <w:t xml:space="preserve">14.2 Insured’s Notice Contact.</w:t>
      </w:r>
      <w:r>
        <w:t xml:space="preserve"> </w:t>
      </w:r>
      <w:r>
        <w:t xml:space="preserve">Notices to the Insured are delivered to the attention of the Vice President, Finance, with a copy to the Insured’s Controller.</w:t>
      </w:r>
    </w:p>
    <w:p>
      <w:pPr>
        <w:pStyle w:val="BodyText"/>
      </w:pPr>
      <w:r>
        <w:rPr>
          <w:b/>
          <w:bCs/>
        </w:rPr>
        <w:t xml:space="preserve">14.3 When Effective.</w:t>
      </w:r>
      <w:r>
        <w:t xml:space="preserve"> </w:t>
      </w:r>
      <w:r>
        <w:t xml:space="preserve">A notice is effective on delivery by hand or courier, or on confirmation of receipt where delivered by email.</w:t>
      </w:r>
    </w:p>
    <w:bookmarkEnd w:id="23"/>
    <w:bookmarkStart w:id="24" w:name="general"/>
    <w:p>
      <w:pPr>
        <w:pStyle w:val="Heading2"/>
      </w:pPr>
      <w:r>
        <w:t xml:space="preserve">15. General</w:t>
      </w:r>
    </w:p>
    <w:p>
      <w:pPr>
        <w:pStyle w:val="FirstParagraph"/>
      </w:pPr>
      <w:r>
        <w:rPr>
          <w:b/>
          <w:bCs/>
        </w:rPr>
        <w:t xml:space="preserve">15.1 Entire Agreement.</w:t>
      </w:r>
      <w:r>
        <w:t xml:space="preserve"> </w:t>
      </w:r>
      <w:r>
        <w:t xml:space="preserve">This Agreement, together with Schedule A and the policies placed under the Program, is the entire agreement between the Parties in respect of the Program and supersedes all prior discussions and proposals about it.</w:t>
      </w:r>
    </w:p>
    <w:p>
      <w:pPr>
        <w:pStyle w:val="BodyText"/>
      </w:pPr>
      <w:r>
        <w:rPr>
          <w:b/>
          <w:bCs/>
        </w:rPr>
        <w:t xml:space="preserve">15.2 Order of Precedence.</w:t>
      </w:r>
      <w:r>
        <w:t xml:space="preserve"> </w:t>
      </w:r>
      <w:r>
        <w:t xml:space="preserve">If this Agreement conflicts with a policy issued by a carrier as to the scope of coverage, the policy controls. If this Agreement conflicts with any Millgate invoice or service document as to premium, payment terms, or refund, this Agreement controls.</w:t>
      </w:r>
    </w:p>
    <w:p>
      <w:pPr>
        <w:pStyle w:val="BodyText"/>
      </w:pPr>
      <w:r>
        <w:rPr>
          <w:b/>
          <w:bCs/>
        </w:rPr>
        <w:t xml:space="preserve">15.3 Amendment.</w:t>
      </w:r>
      <w:r>
        <w:t xml:space="preserve"> </w:t>
      </w:r>
      <w:r>
        <w:t xml:space="preserve">An amendment to this Agreement is effective only if it is in writing and signed by an authorized representative of each Party.</w:t>
      </w:r>
    </w:p>
    <w:p>
      <w:pPr>
        <w:pStyle w:val="BodyText"/>
      </w:pPr>
      <w:r>
        <w:rPr>
          <w:b/>
          <w:bCs/>
        </w:rPr>
        <w:t xml:space="preserve">15.4 Assignment.</w:t>
      </w:r>
      <w:r>
        <w:t xml:space="preserve"> </w:t>
      </w:r>
      <w:r>
        <w:t xml:space="preserve">Neither Party may assign this Agreement without the other Party’s prior written consent, except that either Party may assign it in connection with a merger or a sale of substantially all of its assets on written notice to the other Party.</w:t>
      </w:r>
    </w:p>
    <w:p>
      <w:pPr>
        <w:pStyle w:val="BodyText"/>
      </w:pPr>
      <w:r>
        <w:rPr>
          <w:b/>
          <w:bCs/>
        </w:rPr>
        <w:t xml:space="preserve">15.5 Governing Law.</w:t>
      </w:r>
      <w:r>
        <w:t xml:space="preserve"> </w:t>
      </w:r>
      <w:r>
        <w:t xml:space="preserve">This Agreement is governed by the laws of the State of Delaware, without regard to its conflict of laws rules.</w:t>
      </w:r>
    </w:p>
    <w:p>
      <w:pPr>
        <w:pStyle w:val="BodyText"/>
      </w:pPr>
      <w:r>
        <w:rPr>
          <w:b/>
          <w:bCs/>
        </w:rPr>
        <w:t xml:space="preserve">15.6 Counterparts.</w:t>
      </w:r>
      <w:r>
        <w:t xml:space="preserve"> </w:t>
      </w:r>
      <w:r>
        <w:t xml:space="preserve">This Agreement may be executed in counterparts, including by electronic signature, each of which is an original and all of which together constitute one instrument.</w:t>
      </w:r>
    </w:p>
    <w:bookmarkEnd w:id="24"/>
    <w:bookmarkStart w:id="25" w:name="schedule-a-premium-allocation"/>
    <w:p>
      <w:pPr>
        <w:pStyle w:val="Heading2"/>
      </w:pPr>
      <w:r>
        <w:t xml:space="preserve">Schedule A: Premium Allocation</w:t>
      </w:r>
    </w:p>
    <w:p>
      <w:pPr>
        <w:pStyle w:val="FirstParagraph"/>
      </w:pPr>
      <w:r>
        <w:t xml:space="preserve">All amounts are in U.S. dollars and are components of the Annual Premium stated in Section 4.1.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Amount</w:t>
            </w:r>
          </w:p>
        </w:tc>
        <w:tc>
          <w:tcPr/>
          <w:p>
            <w:pPr>
              <w:pStyle w:val="Compact"/>
            </w:pPr>
            <w:r>
              <w:t xml:space="preserve">Auditable</w:t>
            </w:r>
          </w:p>
        </w:tc>
      </w:tr>
      <w:tr>
        <w:tc>
          <w:tcPr/>
          <w:p>
            <w:pPr>
              <w:pStyle w:val="Compact"/>
            </w:pPr>
            <w:r>
              <w:t xml:space="preserve">Commercial general liability and umbrella</w:t>
            </w:r>
          </w:p>
        </w:tc>
        <w:tc>
          <w:tcPr/>
          <w:p>
            <w:pPr>
              <w:pStyle w:val="Compact"/>
            </w:pPr>
            <w:r>
              <w:t xml:space="preserve">$54,400.00</w:t>
            </w:r>
          </w:p>
        </w:tc>
        <w:tc>
          <w:tcPr/>
          <w:p>
            <w:pPr>
              <w:pStyle w:val="Compact"/>
            </w:pPr>
            <w:r>
              <w:t xml:space="preserve">Yes</w:t>
            </w:r>
          </w:p>
        </w:tc>
      </w:tr>
      <w:tr>
        <w:tc>
          <w:tcPr/>
          <w:p>
            <w:pPr>
              <w:pStyle w:val="Compact"/>
            </w:pPr>
            <w:r>
              <w:t xml:space="preserve">Commercial property, business interruption, and extra expense</w:t>
            </w:r>
          </w:p>
        </w:tc>
        <w:tc>
          <w:tcPr/>
          <w:p>
            <w:pPr>
              <w:pStyle w:val="Compact"/>
            </w:pPr>
            <w:r>
              <w:t xml:space="preserve">$71,300.00</w:t>
            </w:r>
          </w:p>
        </w:tc>
        <w:tc>
          <w:tcPr/>
          <w:p>
            <w:pPr>
              <w:pStyle w:val="Compact"/>
            </w:pPr>
            <w:r>
              <w:t xml:space="preserve">No</w:t>
            </w:r>
          </w:p>
        </w:tc>
      </w:tr>
      <w:tr>
        <w:tc>
          <w:tcPr/>
          <w:p>
            <w:pPr>
              <w:pStyle w:val="Compact"/>
            </w:pPr>
            <w:r>
              <w:t xml:space="preserve">Cyber liability and technology errors and omissions</w:t>
            </w:r>
          </w:p>
        </w:tc>
        <w:tc>
          <w:tcPr/>
          <w:p>
            <w:pPr>
              <w:pStyle w:val="Compact"/>
            </w:pPr>
            <w:r>
              <w:t xml:space="preserve">$86,700.00</w:t>
            </w:r>
          </w:p>
        </w:tc>
        <w:tc>
          <w:tcPr/>
          <w:p>
            <w:pPr>
              <w:pStyle w:val="Compact"/>
            </w:pPr>
            <w:r>
              <w:t xml:space="preserve">No</w:t>
            </w:r>
          </w:p>
        </w:tc>
      </w:tr>
      <w:tr>
        <w:tc>
          <w:tcPr/>
          <w:p>
            <w:pPr>
              <w:pStyle w:val="Compact"/>
            </w:pPr>
            <w:r>
              <w:t xml:space="preserve">Directors and officers, employment practices, and fiduciary</w:t>
            </w:r>
          </w:p>
        </w:tc>
        <w:tc>
          <w:tcPr/>
          <w:p>
            <w:pPr>
              <w:pStyle w:val="Compact"/>
            </w:pPr>
            <w:r>
              <w:t xml:space="preserve">$58,900.00</w:t>
            </w:r>
          </w:p>
        </w:tc>
        <w:tc>
          <w:tcPr/>
          <w:p>
            <w:pPr>
              <w:pStyle w:val="Compact"/>
            </w:pPr>
            <w:r>
              <w:t xml:space="preserve">Yes</w:t>
            </w:r>
          </w:p>
        </w:tc>
      </w:tr>
      <w:tr>
        <w:tc>
          <w:tcPr/>
          <w:p>
            <w:pPr>
              <w:pStyle w:val="Compact"/>
            </w:pPr>
            <w:r>
              <w:t xml:space="preserve">Crime</w:t>
            </w:r>
          </w:p>
        </w:tc>
        <w:tc>
          <w:tcPr/>
          <w:p>
            <w:pPr>
              <w:pStyle w:val="Compact"/>
            </w:pPr>
            <w:r>
              <w:t xml:space="preserve">$12,400.00</w:t>
            </w:r>
          </w:p>
        </w:tc>
        <w:tc>
          <w:tcPr/>
          <w:p>
            <w:pPr>
              <w:pStyle w:val="Compact"/>
            </w:pPr>
            <w:r>
              <w:t xml:space="preserve">No</w:t>
            </w:r>
          </w:p>
        </w:tc>
      </w:tr>
      <w:tr>
        <w:tc>
          <w:tcPr/>
          <w:p>
            <w:pPr>
              <w:pStyle w:val="Compact"/>
            </w:pPr>
            <w:r>
              <w:t xml:space="preserve">Surplus lines taxes, stamping, and policy fees</w:t>
            </w:r>
          </w:p>
        </w:tc>
        <w:tc>
          <w:tcPr/>
          <w:p>
            <w:pPr>
              <w:pStyle w:val="Compact"/>
            </w:pPr>
            <w:r>
              <w:t xml:space="preserve">$10,300.00</w:t>
            </w:r>
          </w:p>
        </w:tc>
        <w:tc>
          <w:tcPr/>
          <w:p>
            <w:pPr>
              <w:pStyle w:val="Compact"/>
            </w:pPr>
            <w:r>
              <w:t xml:space="preserve">No</w:t>
            </w:r>
          </w:p>
        </w:tc>
      </w:tr>
      <w:tr>
        <w:tc>
          <w:tcPr/>
          <w:p>
            <w:pPr>
              <w:pStyle w:val="Compact"/>
            </w:pPr>
            <w:r>
              <w:t xml:space="preserve">Facilities services fee, Section 11</w:t>
            </w:r>
          </w:p>
        </w:tc>
        <w:tc>
          <w:tcPr/>
          <w:p>
            <w:pPr>
              <w:pStyle w:val="Compact"/>
            </w:pPr>
            <w:r>
              <w:t xml:space="preserve">$18,000.00</w:t>
            </w:r>
          </w:p>
        </w:tc>
        <w:tc>
          <w:tcPr/>
          <w:p>
            <w:pPr>
              <w:pStyle w:val="Compact"/>
            </w:pPr>
            <w:r>
              <w:t xml:space="preserve">No</w:t>
            </w:r>
          </w:p>
        </w:tc>
      </w:tr>
      <w:tr>
        <w:tc>
          <w:tcPr/>
          <w:p>
            <w:pPr>
              <w:pStyle w:val="Compact"/>
            </w:pPr>
            <w:r>
              <w:rPr>
                <w:b/>
                <w:bCs/>
              </w:rPr>
              <w:t xml:space="preserve">Annual Premium</w:t>
            </w:r>
          </w:p>
        </w:tc>
        <w:tc>
          <w:tcPr/>
          <w:p>
            <w:pPr>
              <w:pStyle w:val="Compact"/>
            </w:pPr>
            <w:r>
              <w:rPr>
                <w:b/>
                <w:bCs/>
              </w:rPr>
              <w:t xml:space="preserve">$312,000.00</w:t>
            </w:r>
          </w:p>
        </w:tc>
        <w:tc>
          <w:tcPr/>
          <w:p>
            <w:pPr>
              <w:pStyle w:val="Compact"/>
            </w:pPr>
          </w:p>
        </w:tc>
      </w:tr>
    </w:tbl>
    <w:p>
      <w:pPr>
        <w:pStyle w:val="BodyText"/>
      </w:pPr>
      <w:r>
        <w:t xml:space="preserve">Monthly earned proportion under Section 4.4: one twelfth of the Annual Premium for each month of the Policy Period, being</w:t>
      </w:r>
      <w:r>
        <w:t xml:space="preserve"> </w:t>
      </w:r>
      <w:r>
        <w:rPr>
          <w:b/>
          <w:bCs/>
        </w:rPr>
        <w:t xml:space="preserve">$26,000.00</w:t>
      </w:r>
      <w:r>
        <w:t xml:space="preserve"> </w:t>
      </w:r>
      <w:r>
        <w:t xml:space="preserve">a month.</w:t>
      </w:r>
    </w:p>
    <w:bookmarkEnd w:id="25"/>
    <w:bookmarkStart w:id="26" w:name="signatures"/>
    <w:p>
      <w:pPr>
        <w:pStyle w:val="Heading2"/>
      </w:pPr>
      <w:r>
        <w:t xml:space="preserve">Signatures</w:t>
      </w:r>
    </w:p>
    <w:p>
      <w:pPr>
        <w:pStyle w:val="FirstParagraph"/>
      </w:pPr>
      <w:r>
        <w:t xml:space="preserve">Executed as of the Agreement Date.</w:t>
      </w:r>
    </w:p>
    <w:p>
      <w:pPr>
        <w:pStyle w:val="BodyText"/>
      </w:pPr>
      <w:r>
        <w:rPr>
          <w:b/>
          <w:bCs/>
        </w:rPr>
        <w:t xml:space="preserve">ATTICUS DUNDEE INC.</w:t>
      </w:r>
    </w:p>
    <w:p>
      <w:pPr>
        <w:pStyle w:val="BodyText"/>
      </w:pPr>
      <w:r>
        <w:t xml:space="preserve">By: ________________________________</w:t>
      </w:r>
    </w:p>
    <w:p>
      <w:pPr>
        <w:pStyle w:val="BodyText"/>
      </w:pPr>
      <w:r>
        <w:t xml:space="preserve">Name: Wrenna Yarrow</w:t>
      </w:r>
    </w:p>
    <w:p>
      <w:pPr>
        <w:pStyle w:val="BodyText"/>
      </w:pPr>
      <w:r>
        <w:t xml:space="preserve">Title: Vice President, Finance</w:t>
      </w:r>
    </w:p>
    <w:p>
      <w:pPr>
        <w:pStyle w:val="BodyText"/>
      </w:pPr>
      <w:r>
        <w:t xml:space="preserve">Date: March 20, 2026</w:t>
      </w:r>
    </w:p>
    <w:p>
      <w:pPr>
        <w:pStyle w:val="BodyText"/>
      </w:pPr>
      <w:r>
        <w:rPr>
          <w:b/>
          <w:bCs/>
        </w:rPr>
        <w:t xml:space="preserve">MILLGATE INSURANCE SERVICES</w:t>
      </w:r>
    </w:p>
    <w:p>
      <w:pPr>
        <w:pStyle w:val="BodyText"/>
      </w:pPr>
      <w:r>
        <w:t xml:space="preserve">By: ________________________________</w:t>
      </w:r>
    </w:p>
    <w:p>
      <w:pPr>
        <w:pStyle w:val="BodyText"/>
      </w:pPr>
      <w:r>
        <w:t xml:space="preserve">Title: Authorized Signatory</w:t>
      </w:r>
    </w:p>
    <w:p>
      <w:pPr>
        <w:pStyle w:val="BodyText"/>
      </w:pPr>
      <w:r>
        <w:t xml:space="preserve">Date: March 20, 2026</w:t>
      </w:r>
    </w:p>
    <w:p>
      <w:pPr>
        <w:pStyle w:val="BodyText"/>
      </w:pPr>
      <w:r>
        <w:t xml:space="preserve">Millgate executes this Agreement by an authorized signatory under its standing program authority. The individual signing is identified in Millgate’s execution record and is not named on the face of this Agreement.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2026-08-18T06:42:38Z</dcterms:created>
  <dcterms:modified xsi:type="dcterms:W3CDTF">2026-08-18T06:42:38Z</dcterms:modified>
</cp:coreProperties>
</file>

<file path=docProps/custom.xml><?xml version="1.0" encoding="utf-8"?>
<Properties xmlns="http://schemas.openxmlformats.org/officeDocument/2006/custom-properties" xmlns:vt="http://schemas.openxmlformats.org/officeDocument/2006/docPropsVTypes"/>
</file>