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aster-services-agreement"/>
    <w:p>
      <w:pPr>
        <w:pStyle w:val="Heading1"/>
      </w:pPr>
      <w:r>
        <w:rPr>
          <w:rStyle w:val="SectionNumber"/>
        </w:rPr>
        <w:t xml:space="preserve">1</w:t>
      </w:r>
      <w:r>
        <w:tab/>
      </w:r>
      <w:r>
        <w:t xml:space="preserve">Master Services Agreement</w:t>
      </w:r>
    </w:p>
    <w:p>
      <w:pPr>
        <w:pStyle w:val="FirstParagraph"/>
      </w:pPr>
      <w:r>
        <w:rPr>
          <w:b/>
          <w:bCs/>
        </w:rPr>
        <w:t xml:space="preserve">Between Copperline Software, Inc. and Atticus Dundee Inc.</w:t>
      </w:r>
    </w:p>
    <w:p>
      <w:pPr>
        <w:pStyle w:val="BodyText"/>
      </w:pPr>
      <w:r>
        <w:t xml:space="preserve">This Master Services Agreement (this</w:t>
      </w:r>
      <w:r>
        <w:t xml:space="preserve"> </w:t>
      </w:r>
      <w:r>
        <w:t xml:space="preserve">“</w:t>
      </w:r>
      <w:r>
        <w:rPr>
          <w:b/>
          <w:bCs/>
        </w:rPr>
        <w:t xml:space="preserve">Agreement</w:t>
      </w:r>
      <w:r>
        <w:t xml:space="preserve">”</w:t>
      </w:r>
      <w:r>
        <w:t xml:space="preserve">) is entered into as of January 12, 2026 (the</w:t>
      </w:r>
      <w:r>
        <w:t xml:space="preserve"> </w:t>
      </w:r>
      <w:r>
        <w:t xml:space="preserve">“</w:t>
      </w:r>
      <w:r>
        <w:rPr>
          <w:b/>
          <w:bCs/>
        </w:rPr>
        <w:t xml:space="preserve">Effective Date</w:t>
      </w:r>
      <w:r>
        <w:t xml:space="preserve">”</w:t>
      </w:r>
      <w:r>
        <w:t xml:space="preserve">) by and between:</w:t>
      </w:r>
    </w:p>
    <w:p>
      <w:pPr>
        <w:pStyle w:val="BodyText"/>
      </w:pPr>
      <w:r>
        <w:rPr>
          <w:b/>
          <w:bCs/>
        </w:rPr>
        <w:t xml:space="preserve">Copperline Software, Inc.</w:t>
      </w:r>
      <w:r>
        <w:t xml:space="preserve">, a Delaware corporation with its principal place of business at 45 Tamarind Loop, Suite 210, Denver, Colorado 80202 (</w:t>
      </w:r>
      <w:r>
        <w:t xml:space="preserve">“</w:t>
      </w:r>
      <w:r>
        <w:rPr>
          <w:b/>
          <w:bCs/>
        </w:rPr>
        <w:t xml:space="preserve">Provider</w:t>
      </w:r>
      <w:r>
        <w:t xml:space="preserve">”</w:t>
      </w:r>
      <w:r>
        <w:t xml:space="preserve">); and</w:t>
      </w:r>
    </w:p>
    <w:p>
      <w:pPr>
        <w:pStyle w:val="BodyText"/>
      </w:pPr>
      <w:r>
        <w:rPr>
          <w:b/>
          <w:bCs/>
        </w:rPr>
        <w:t xml:space="preserve">Atticus Dundee Inc.</w:t>
      </w:r>
      <w:r>
        <w:t xml:space="preserve">, a Delaware corporation with its principal place of business at 1450 Halverson Quay, Suite 600, Wilmington, Delaware 19801 (</w:t>
      </w:r>
      <w:r>
        <w:t xml:space="preserve">“</w:t>
      </w:r>
      <w:r>
        <w:rPr>
          <w:b/>
          <w:bCs/>
        </w:rPr>
        <w:t xml:space="preserve">Customer</w:t>
      </w:r>
      <w:r>
        <w:t xml:space="preserve">”</w:t>
      </w:r>
      <w:r>
        <w:t xml:space="preserve">).</w:t>
      </w:r>
    </w:p>
    <w:p>
      <w:pPr>
        <w:pStyle w:val="BodyText"/>
      </w:pPr>
      <w:r>
        <w:t xml:space="preserve">Provider and Customer are each referred to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p>
    <w:p>
      <w:pPr>
        <w:pStyle w:val="BodyText"/>
      </w:pPr>
      <w:r>
        <w:t xml:space="preserve">Capitalized terms used in this Agreement have the meanings given to them in Section 21 (Definitions) or where first defined in the body of this Agreement.</w:t>
      </w:r>
    </w:p>
    <w:bookmarkStart w:id="9" w:name="recitals"/>
    <w:p>
      <w:pPr>
        <w:pStyle w:val="Heading2"/>
      </w:pPr>
      <w:r>
        <w:rPr>
          <w:rStyle w:val="SectionNumber"/>
        </w:rPr>
        <w:t xml:space="preserve">1.1</w:t>
      </w:r>
      <w:r>
        <w:tab/>
      </w:r>
      <w:r>
        <w:t xml:space="preserve">Recitals</w:t>
      </w:r>
    </w:p>
    <w:p>
      <w:pPr>
        <w:pStyle w:val="FirstParagraph"/>
      </w:pPr>
      <w:r>
        <w:rPr>
          <w:b/>
          <w:bCs/>
        </w:rPr>
        <w:t xml:space="preserve">A.</w:t>
      </w:r>
      <w:r>
        <w:t xml:space="preserve"> </w:t>
      </w:r>
      <w:r>
        <w:t xml:space="preserve">Provider develops, hosts, and licenses a cloud-based revenue and contract operations platform and provides related implementation, configuration, and support services.</w:t>
      </w:r>
    </w:p>
    <w:p>
      <w:pPr>
        <w:pStyle w:val="BodyText"/>
      </w:pPr>
      <w:r>
        <w:rPr>
          <w:b/>
          <w:bCs/>
        </w:rPr>
        <w:t xml:space="preserve">B.</w:t>
      </w:r>
      <w:r>
        <w:t xml:space="preserve"> </w:t>
      </w:r>
      <w:r>
        <w:t xml:space="preserve">Customer wishes to subscribe to that platform for use by its personnel and to engage Provider to implement and configure the platform for Customer’s environment.</w:t>
      </w:r>
    </w:p>
    <w:p>
      <w:pPr>
        <w:pStyle w:val="BodyText"/>
      </w:pPr>
      <w:r>
        <w:rPr>
          <w:b/>
          <w:bCs/>
        </w:rPr>
        <w:t xml:space="preserve">C.</w:t>
      </w:r>
      <w:r>
        <w:t xml:space="preserve"> </w:t>
      </w:r>
      <w:r>
        <w:t xml:space="preserve">The Parties wish to establish the general terms that will govern that subscription and those services, and to provide a framework under which Customer may order additional services from time to time by executing Order Forms and Statements of Work that incorporate this Agreement.</w:t>
      </w:r>
    </w:p>
    <w:p>
      <w:pPr>
        <w:pStyle w:val="BodyText"/>
      </w:pPr>
      <w:r>
        <w:rPr>
          <w:b/>
          <w:bCs/>
        </w:rPr>
        <w:t xml:space="preserve">NOW, THEREFORE</w:t>
      </w:r>
      <w:r>
        <w:t xml:space="preserve">, in consideration of the mutual covenants and promises set out below, and for other good and valuable consideration, the receipt and sufficiency of which are acknowledged, the Parties agree as follows.</w:t>
      </w:r>
    </w:p>
    <w:bookmarkEnd w:id="9"/>
    <w:bookmarkStart w:id="10" w:name="term-and-renewal"/>
    <w:p>
      <w:pPr>
        <w:pStyle w:val="Heading2"/>
      </w:pPr>
      <w:r>
        <w:rPr>
          <w:rStyle w:val="SectionNumber"/>
        </w:rPr>
        <w:t xml:space="preserve">1.2</w:t>
      </w:r>
      <w:r>
        <w:tab/>
      </w:r>
      <w:r>
        <w:t xml:space="preserve">1. Term and Renewal</w:t>
      </w:r>
    </w:p>
    <w:p>
      <w:pPr>
        <w:pStyle w:val="FirstParagraph"/>
      </w:pPr>
      <w:r>
        <w:rPr>
          <w:b/>
          <w:bCs/>
        </w:rPr>
        <w:t xml:space="preserve">1.1 Agreement Term.</w:t>
      </w:r>
      <w:r>
        <w:t xml:space="preserve"> </w:t>
      </w:r>
      <w:r>
        <w:t xml:space="preserve">This Agreement commences on the Effective Date and continues until it is terminated in accordance with Section 7 (Termination) or until the expiration of all Subscription Terms and Statements of Work then in effect, whichever occurs later.</w:t>
      </w:r>
    </w:p>
    <w:p>
      <w:pPr>
        <w:pStyle w:val="BodyText"/>
      </w:pPr>
      <w:r>
        <w:rPr>
          <w:b/>
          <w:bCs/>
        </w:rPr>
        <w:t xml:space="preserve">1.2 Initial Subscription Term.</w:t>
      </w:r>
      <w:r>
        <w:t xml:space="preserve"> </w:t>
      </w:r>
      <w:r>
        <w:t xml:space="preserve">The initial subscription term for the Subscription Services (the</w:t>
      </w:r>
      <w:r>
        <w:t xml:space="preserve"> </w:t>
      </w:r>
      <w:r>
        <w:t xml:space="preserve">“</w:t>
      </w:r>
      <w:r>
        <w:rPr>
          <w:b/>
          <w:bCs/>
        </w:rPr>
        <w:t xml:space="preserve">Initial Term</w:t>
      </w:r>
      <w:r>
        <w:t xml:space="preserve">”</w:t>
      </w:r>
      <w:r>
        <w:t xml:space="preserve">) begins on February 1, 2026 (the</w:t>
      </w:r>
      <w:r>
        <w:t xml:space="preserve"> </w:t>
      </w:r>
      <w:r>
        <w:t xml:space="preserve">“</w:t>
      </w:r>
      <w:r>
        <w:rPr>
          <w:b/>
          <w:bCs/>
        </w:rPr>
        <w:t xml:space="preserve">Subscription Start Date</w:t>
      </w:r>
      <w:r>
        <w:t xml:space="preserve">”</w:t>
      </w:r>
      <w:r>
        <w:t xml:space="preserve">) and continues for twelve (12) consecutive months, ending on January 31, 2027, unless terminated earlier in accordance with this Agreement.</w:t>
      </w:r>
    </w:p>
    <w:p>
      <w:pPr>
        <w:pStyle w:val="BodyText"/>
      </w:pPr>
      <w:r>
        <w:rPr>
          <w:b/>
          <w:bCs/>
        </w:rPr>
        <w:t xml:space="preserve">1.3 Automatic Renewal.</w:t>
      </w:r>
      <w:r>
        <w:t xml:space="preserve"> </w:t>
      </w:r>
      <w:r>
        <w:t xml:space="preserve">Upon expiration of the Initial Term, and upon expiration of each Renewal Term thereafter, the Subscription Services will renew automatically for a further period of twelve (12) months (each, a</w:t>
      </w:r>
      <w:r>
        <w:t xml:space="preserve"> </w:t>
      </w:r>
      <w:r>
        <w:t xml:space="preserve">“</w:t>
      </w:r>
      <w:r>
        <w:rPr>
          <w:b/>
          <w:bCs/>
        </w:rPr>
        <w:t xml:space="preserve">Renewal Term</w:t>
      </w:r>
      <w:r>
        <w:t xml:space="preserve">”</w:t>
      </w:r>
      <w:r>
        <w:t xml:space="preserve">), unless either Party delivers to the other Party written notice of non-renewal not less than ninety (90) days before the last day of the then-current Initial Term or Renewal Term. The Initial Term together with each Renewal Term is the</w:t>
      </w:r>
      <w:r>
        <w:t xml:space="preserve"> </w:t>
      </w:r>
      <w:r>
        <w:t xml:space="preserve">“</w:t>
      </w:r>
      <w:r>
        <w:rPr>
          <w:b/>
          <w:bCs/>
        </w:rPr>
        <w:t xml:space="preserve">Subscription Term</w:t>
      </w:r>
      <w:r>
        <w:t xml:space="preserve">.”</w:t>
      </w:r>
    </w:p>
    <w:p>
      <w:pPr>
        <w:pStyle w:val="BodyText"/>
      </w:pPr>
      <w:r>
        <w:rPr>
          <w:b/>
          <w:bCs/>
        </w:rPr>
        <w:t xml:space="preserve">1.4 Renewal Notice by Provider.</w:t>
      </w:r>
      <w:r>
        <w:t xml:space="preserve"> </w:t>
      </w:r>
      <w:r>
        <w:t xml:space="preserve">Provider will deliver to Customer a written renewal notice not less than sixty (60) days before the last day of the then-current Subscription Term. The renewal notice will state (a) the date on which the then-current Subscription Term expires, (b) the Fees that will apply during the next Renewal Term as calculated under Section 5.4, and (c) the date by which Customer must deliver a notice of non-renewal under Section 1.3. If Provider fails to deliver the renewal notice by the date required by this Section 1.4, the deadline for Customer to deliver a notice of non-renewal under Section 1.3 is extended to the date that is fifteen (15) days after Provider’s actual delivery of the renewal notice.</w:t>
      </w:r>
    </w:p>
    <w:p>
      <w:pPr>
        <w:pStyle w:val="BodyText"/>
      </w:pPr>
      <w:r>
        <w:rPr>
          <w:b/>
          <w:bCs/>
        </w:rPr>
        <w:t xml:space="preserve">1.5 Late Notice of Non-Renewal.</w:t>
      </w:r>
      <w:r>
        <w:t xml:space="preserve"> </w:t>
      </w:r>
      <w:r>
        <w:t xml:space="preserve">Any purported notice of non-renewal that is delivered fewer than thirty (30) days before the last day of the then-current Subscription Term is void and of no effect, and the Subscription Services will renew for a further Renewal Term as provided in Section 1.3. A notice of non-renewal delivered during the period beginning ninety (90) days before the last day of the then-current Subscription Term and ending thirty (30) days before that day is effective for the Renewal Term that follows the Renewal Term then in progress, and Customer remains responsible for the Fees for the Renewal Term that has commenced.</w:t>
      </w:r>
    </w:p>
    <w:p>
      <w:pPr>
        <w:pStyle w:val="BodyText"/>
      </w:pPr>
      <w:r>
        <w:rPr>
          <w:b/>
          <w:bCs/>
        </w:rPr>
        <w:t xml:space="preserve">1.6 Effect on Statements of Work.</w:t>
      </w:r>
      <w:r>
        <w:t xml:space="preserve"> </w:t>
      </w:r>
      <w:r>
        <w:t xml:space="preserve">Expiration or non-renewal of a Subscription Term does not by itself terminate any Statement of Work then in progress. Each Statement of Work continues in accordance with its own terms and this Agreement continues to govern it until it is completed or terminated.</w:t>
      </w:r>
    </w:p>
    <w:bookmarkEnd w:id="10"/>
    <w:bookmarkStart w:id="11" w:name="X6dc1fd0fb8d47f588d29443c003daec1772ea92"/>
    <w:p>
      <w:pPr>
        <w:pStyle w:val="Heading2"/>
      </w:pPr>
      <w:r>
        <w:rPr>
          <w:rStyle w:val="SectionNumber"/>
        </w:rPr>
        <w:t xml:space="preserve">1.3</w:t>
      </w:r>
      <w:r>
        <w:tab/>
      </w:r>
      <w:r>
        <w:t xml:space="preserve">2. Subscription Services and Professional Services</w:t>
      </w:r>
    </w:p>
    <w:p>
      <w:pPr>
        <w:pStyle w:val="FirstParagraph"/>
      </w:pPr>
      <w:r>
        <w:rPr>
          <w:b/>
          <w:bCs/>
        </w:rPr>
        <w:t xml:space="preserve">2.1 Subscription Grant.</w:t>
      </w:r>
      <w:r>
        <w:t xml:space="preserve"> </w:t>
      </w:r>
      <w:r>
        <w:t xml:space="preserve">Subject to Customer’s compliance with this Agreement and payment of the applicable Fees, Provider grants Customer a non-exclusive, non-transferable, non-sublicensable right during the Subscription Term to access and use the Platform and the Documentation for Customer’s internal business purposes, up to the number of Authorized Users and within the usage limits set out in Exhibit A.</w:t>
      </w:r>
    </w:p>
    <w:p>
      <w:pPr>
        <w:pStyle w:val="BodyText"/>
      </w:pPr>
      <w:r>
        <w:rPr>
          <w:b/>
          <w:bCs/>
        </w:rPr>
        <w:t xml:space="preserve">2.2 Affiliates.</w:t>
      </w:r>
      <w:r>
        <w:t xml:space="preserve"> </w:t>
      </w:r>
      <w:r>
        <w:t xml:space="preserve">Customer’s Affiliates may access and use the Platform under Customer’s subscription. Customer is responsible for each Affiliate’s compliance with this Agreement, and any act or omission of an Affiliate that would be a breach of this Agreement if committed by Customer is a breach by Customer.</w:t>
      </w:r>
    </w:p>
    <w:p>
      <w:pPr>
        <w:pStyle w:val="BodyText"/>
      </w:pPr>
      <w:r>
        <w:rPr>
          <w:b/>
          <w:bCs/>
        </w:rPr>
        <w:t xml:space="preserve">2.3 Professional Services.</w:t>
      </w:r>
      <w:r>
        <w:t xml:space="preserve"> </w:t>
      </w:r>
      <w:r>
        <w:t xml:space="preserve">Provider will perform implementation, configuration, data migration, integration, and training services (collectively,</w:t>
      </w:r>
      <w:r>
        <w:t xml:space="preserve"> </w:t>
      </w:r>
      <w:r>
        <w:t xml:space="preserve">“</w:t>
      </w:r>
      <w:r>
        <w:rPr>
          <w:b/>
          <w:bCs/>
        </w:rPr>
        <w:t xml:space="preserve">Professional Services</w:t>
      </w:r>
      <w:r>
        <w:t xml:space="preserve">”</w:t>
      </w:r>
      <w:r>
        <w:t xml:space="preserve">) as described in Exhibit B and in any Statement of Work executed by the Parties. Each Statement of Work must identify the services, deliverables, milestones, acceptance criteria, assumptions, fees, and Provider personnel roles, and must reference this Agreement by its title and Effective Date.</w:t>
      </w:r>
    </w:p>
    <w:p>
      <w:pPr>
        <w:pStyle w:val="BodyText"/>
      </w:pPr>
      <w:r>
        <w:rPr>
          <w:b/>
          <w:bCs/>
        </w:rPr>
        <w:t xml:space="preserve">2.4 Support and Service Levels.</w:t>
      </w:r>
      <w:r>
        <w:t xml:space="preserve"> </w:t>
      </w:r>
      <w:r>
        <w:t xml:space="preserve">Provider will provide support and will make the Platform available in accordance with the service levels set out in Exhibit D. Service Credits issued under Exhibit D are Customer’s sole and exclusive remedy for Provider’s failure to meet the availability commitment set out in Exhibit D, except where Customer terminates for chronic failure under Section 7.1(c).</w:t>
      </w:r>
    </w:p>
    <w:p>
      <w:pPr>
        <w:pStyle w:val="BodyText"/>
      </w:pPr>
      <w:r>
        <w:rPr>
          <w:b/>
          <w:bCs/>
        </w:rPr>
        <w:t xml:space="preserve">2.5 Changes to the Platform.</w:t>
      </w:r>
      <w:r>
        <w:t xml:space="preserve"> </w:t>
      </w:r>
      <w:r>
        <w:t xml:space="preserve">Provider may modify the Platform from time to time, provided that Provider will not materially decrease the core functionality of the Platform, materially degrade the security controls described in Exhibit C, or materially reduce the availability commitment set out in Exhibit D during any Subscription Term. Provider will give Customer at least ninety (90) days’ prior written notice of any deprecation of a feature that Customer is then using in production.</w:t>
      </w:r>
    </w:p>
    <w:p>
      <w:pPr>
        <w:pStyle w:val="BodyText"/>
      </w:pPr>
      <w:r>
        <w:rPr>
          <w:b/>
          <w:bCs/>
        </w:rPr>
        <w:t xml:space="preserve">2.6 Change Orders.</w:t>
      </w:r>
      <w:r>
        <w:t xml:space="preserve"> </w:t>
      </w:r>
      <w:r>
        <w:t xml:space="preserve">Any change to the scope, schedule, deliverables, or fees of a Statement of Work must be documented in a written change order signed by an authorized representative of each Party. Provider is not obligated to perform, and Customer is not obligated to pay for, work outside an executed Statement of Work or change order.</w:t>
      </w:r>
    </w:p>
    <w:bookmarkEnd w:id="11"/>
    <w:bookmarkStart w:id="12" w:name="X9da31d807b6963eee32482c27dd1b2b03f904b7"/>
    <w:p>
      <w:pPr>
        <w:pStyle w:val="Heading2"/>
      </w:pPr>
      <w:r>
        <w:rPr>
          <w:rStyle w:val="SectionNumber"/>
        </w:rPr>
        <w:t xml:space="preserve">1.4</w:t>
      </w:r>
      <w:r>
        <w:tab/>
      </w:r>
      <w:r>
        <w:t xml:space="preserve">3. Customer Responsibilities and Restrictions</w:t>
      </w:r>
    </w:p>
    <w:p>
      <w:pPr>
        <w:pStyle w:val="FirstParagraph"/>
      </w:pPr>
      <w:r>
        <w:rPr>
          <w:b/>
          <w:bCs/>
        </w:rPr>
        <w:t xml:space="preserve">3.1 Customer Responsibilities.</w:t>
      </w:r>
      <w:r>
        <w:t xml:space="preserve"> </w:t>
      </w:r>
      <w:r>
        <w:t xml:space="preserve">Customer will (a) provide Provider with the access, information, personnel, environments, and decisions reasonably necessary for Provider to perform, in accordance with the assumptions and Customer dependencies stated in Exhibit B; (b) designate a project sponsor and a day-to-day project manager with authority to make decisions and issue Acceptance Certificates; (c) be responsible for the accuracy and legality of Customer Data; and (d) maintain the network, hardware, and third-party software required to access the Platform.</w:t>
      </w:r>
    </w:p>
    <w:p>
      <w:pPr>
        <w:pStyle w:val="BodyText"/>
      </w:pPr>
      <w:r>
        <w:rPr>
          <w:b/>
          <w:bCs/>
        </w:rPr>
        <w:t xml:space="preserve">3.2 Authorized Users.</w:t>
      </w:r>
      <w:r>
        <w:t xml:space="preserve"> </w:t>
      </w:r>
      <w:r>
        <w:t xml:space="preserve">Customer will ensure that each Authorized User keeps login credentials confidential and does not share them. Customer will promptly notify Provider of any known or suspected unauthorized use of Customer’s account. Customer may reassign a subscription seat from one individual to another, but may not permit two or more individuals to use a single seat concurrently.</w:t>
      </w:r>
    </w:p>
    <w:p>
      <w:pPr>
        <w:pStyle w:val="BodyText"/>
      </w:pPr>
      <w:r>
        <w:rPr>
          <w:b/>
          <w:bCs/>
        </w:rPr>
        <w:t xml:space="preserve">3.3 Restrictions.</w:t>
      </w:r>
      <w:r>
        <w:t xml:space="preserve"> </w:t>
      </w:r>
      <w:r>
        <w:t xml:space="preserve">Customer will not, and will not permit any Authorized User or third party to: (a) sell, resell, license, sublicense, rent, or lease the Platform, or make the Platform available to any third party other than Authorized Users; (b) reverse engineer, decompile, or disassemble the Platform, or attempt to derive its source code, except to the extent that restriction is prohibited by Applicable Law; (c) copy, modify, or create derivative works of the Platform or the Documentation; (d) use the Platform to build a competing product or service, or to benchmark the Platform for publication without Provider’s prior written consent; (e) introduce malicious code into the Platform or interfere with its integrity or performance; or (f) use the Platform in violation of Applicable Law.</w:t>
      </w:r>
    </w:p>
    <w:p>
      <w:pPr>
        <w:pStyle w:val="BodyText"/>
      </w:pPr>
      <w:r>
        <w:rPr>
          <w:b/>
          <w:bCs/>
        </w:rPr>
        <w:t xml:space="preserve">3.4 Customer Dependency Delays.</w:t>
      </w:r>
      <w:r>
        <w:t xml:space="preserve"> </w:t>
      </w:r>
      <w:r>
        <w:t xml:space="preserve">If Customer fails to meet a Customer dependency identified in Exhibit B or a Statement of Work, and that failure delays Provider’s performance, the affected milestone dates will be extended day for day, and Provider may invoice Customer for reasonable, documented standby costs actually incurred, provided that Provider (i) notifies Customer in writing within five (5) Business Days of becoming aware of the delay, and (ii) takes commercially reasonable steps to redeploy affected personnel.</w:t>
      </w:r>
    </w:p>
    <w:bookmarkEnd w:id="12"/>
    <w:bookmarkStart w:id="13" w:name="implementation-milestones-and-acceptance"/>
    <w:p>
      <w:pPr>
        <w:pStyle w:val="Heading2"/>
      </w:pPr>
      <w:r>
        <w:rPr>
          <w:rStyle w:val="SectionNumber"/>
        </w:rPr>
        <w:t xml:space="preserve">1.5</w:t>
      </w:r>
      <w:r>
        <w:tab/>
      </w:r>
      <w:r>
        <w:t xml:space="preserve">4. Implementation, Milestones, and Acceptance</w:t>
      </w:r>
    </w:p>
    <w:p>
      <w:pPr>
        <w:pStyle w:val="FirstParagraph"/>
      </w:pPr>
      <w:r>
        <w:rPr>
          <w:b/>
          <w:bCs/>
        </w:rPr>
        <w:t xml:space="preserve">4.1 Implementation Plan.</w:t>
      </w:r>
      <w:r>
        <w:t xml:space="preserve"> </w:t>
      </w:r>
      <w:r>
        <w:t xml:space="preserve">Provider will perform the implementation described in Exhibit B (Implementation Plan and Milestones) in four phases, each concluding in a milestone (each, a</w:t>
      </w:r>
      <w:r>
        <w:t xml:space="preserve"> </w:t>
      </w:r>
      <w:r>
        <w:t xml:space="preserve">“</w:t>
      </w:r>
      <w:r>
        <w:rPr>
          <w:b/>
          <w:bCs/>
        </w:rPr>
        <w:t xml:space="preserve">Milestone</w:t>
      </w:r>
      <w:r>
        <w:t xml:space="preserve">”</w:t>
      </w:r>
      <w:r>
        <w:t xml:space="preserve">). Exhibit B sets out the deliverables, acceptance criteria, target dates, and Customer dependencies for each Milestone.</w:t>
      </w:r>
    </w:p>
    <w:p>
      <w:pPr>
        <w:pStyle w:val="BodyText"/>
      </w:pPr>
      <w:r>
        <w:rPr>
          <w:b/>
          <w:bCs/>
        </w:rPr>
        <w:t xml:space="preserve">4.2 Acceptance Procedure.</w:t>
      </w:r>
      <w:r>
        <w:t xml:space="preserve"> </w:t>
      </w:r>
      <w:r>
        <w:t xml:space="preserve">Provider will notify Customer in writing when it believes a Milestone deliverable is complete. Customer will have ten (10) Business Days from that notice to evaluate the deliverable against the acceptance criteria stated in Exhibit B and to either (a) issue a written acceptance certificate (an</w:t>
      </w:r>
      <w:r>
        <w:t xml:space="preserve"> </w:t>
      </w:r>
      <w:r>
        <w:t xml:space="preserve">“</w:t>
      </w:r>
      <w:r>
        <w:rPr>
          <w:b/>
          <w:bCs/>
        </w:rPr>
        <w:t xml:space="preserve">Acceptance Certificate</w:t>
      </w:r>
      <w:r>
        <w:t xml:space="preserve">”</w:t>
      </w:r>
      <w:r>
        <w:t xml:space="preserve">) or (b) deliver a written notice of rejection identifying with reasonable particularity each failure to meet the stated acceptance criteria. If Customer does not deliver an Acceptance Certificate or a notice of rejection within that ten (10) Business Day period, the deliverable is deemed accepted.</w:t>
      </w:r>
    </w:p>
    <w:p>
      <w:pPr>
        <w:pStyle w:val="BodyText"/>
      </w:pPr>
      <w:r>
        <w:rPr>
          <w:b/>
          <w:bCs/>
        </w:rPr>
        <w:t xml:space="preserve">4.3 Correction and Re-Submission.</w:t>
      </w:r>
      <w:r>
        <w:t xml:space="preserve"> </w:t>
      </w:r>
      <w:r>
        <w:t xml:space="preserve">If Customer rejects a deliverable, Provider will correct the identified failures and re-submit the deliverable within fifteen (15) Business Days, and the procedure in Section 4.2 will apply again to the re-submitted deliverable. If Provider fails to achieve acceptance of the same deliverable after two (2) re-submissions, Customer may, at its option, (a) accept the deliverable subject to an equitable reduction in the associated Milestone payment, or (b) terminate the affected Statement of Work for cause under Section 7.1(a) without any further cure period and receive a refund of amounts paid for the rejected deliverable.</w:t>
      </w:r>
    </w:p>
    <w:p>
      <w:pPr>
        <w:pStyle w:val="BodyText"/>
      </w:pPr>
      <w:r>
        <w:rPr>
          <w:b/>
          <w:bCs/>
        </w:rPr>
        <w:t xml:space="preserve">4.4 Milestone Gate.</w:t>
      </w:r>
      <w:r>
        <w:t xml:space="preserve"> </w:t>
      </w:r>
      <w:r>
        <w:t xml:space="preserve">Provider will not commence any Phase 3 (Production Configuration and Cutover Readiness) activity, and Customer will not be obligated to pay for any Phase 3 activity, until Customer has issued an Acceptance Certificate for Milestone 2 (Integration Readiness) under Section 4.2. Any Phase 3 work performed before that Acceptance Certificate is issued is performed at Provider’s own risk and expense. If Milestone 2 has not been accepted within thirty (30) days after the target date stated in Exhibit B, the Parties’ project sponsors will meet within five (5) Business Days to agree a written recovery plan, and the remaining Milestone target dates will be re-baselined by change order under Section 2.6.</w:t>
      </w:r>
    </w:p>
    <w:p>
      <w:pPr>
        <w:pStyle w:val="BodyText"/>
      </w:pPr>
      <w:r>
        <w:rPr>
          <w:b/>
          <w:bCs/>
        </w:rPr>
        <w:t xml:space="preserve">4.5 No Waiver by Acceptance.</w:t>
      </w:r>
      <w:r>
        <w:t xml:space="preserve"> </w:t>
      </w:r>
      <w:r>
        <w:t xml:space="preserve">Acceptance of a deliverable does not waive any warranty in Section 13 or any right or remedy in respect of a defect that was not reasonably discoverable during the acceptance period.</w:t>
      </w:r>
    </w:p>
    <w:bookmarkEnd w:id="13"/>
    <w:bookmarkStart w:id="14" w:name="fees-invoicing-and-payment"/>
    <w:p>
      <w:pPr>
        <w:pStyle w:val="Heading2"/>
      </w:pPr>
      <w:r>
        <w:rPr>
          <w:rStyle w:val="SectionNumber"/>
        </w:rPr>
        <w:t xml:space="preserve">1.6</w:t>
      </w:r>
      <w:r>
        <w:tab/>
      </w:r>
      <w:r>
        <w:t xml:space="preserve">5. Fees, Invoicing, and Payment</w:t>
      </w:r>
    </w:p>
    <w:p>
      <w:pPr>
        <w:pStyle w:val="FirstParagraph"/>
      </w:pPr>
      <w:r>
        <w:rPr>
          <w:b/>
          <w:bCs/>
        </w:rPr>
        <w:t xml:space="preserve">5.1 Fees.</w:t>
      </w:r>
      <w:r>
        <w:t xml:space="preserve"> </w:t>
      </w:r>
      <w:r>
        <w:t xml:space="preserve">Customer will pay the fees set out in Exhibit A (the</w:t>
      </w:r>
      <w:r>
        <w:t xml:space="preserve"> </w:t>
      </w:r>
      <w:r>
        <w:t xml:space="preserve">“</w:t>
      </w:r>
      <w:r>
        <w:rPr>
          <w:b/>
          <w:bCs/>
        </w:rPr>
        <w:t xml:space="preserve">Fees</w:t>
      </w:r>
      <w:r>
        <w:t xml:space="preserve">”</w:t>
      </w:r>
      <w:r>
        <w:t xml:space="preserve">). Except as expressly stated in this Agreement, all Fees are non-refundable and all payment obligations are non-cancellable.</w:t>
      </w:r>
    </w:p>
    <w:p>
      <w:pPr>
        <w:pStyle w:val="BodyText"/>
      </w:pPr>
      <w:r>
        <w:rPr>
          <w:b/>
          <w:bCs/>
        </w:rPr>
        <w:t xml:space="preserve">5.2 Subscription Fees.</w:t>
      </w:r>
      <w:r>
        <w:t xml:space="preserve"> </w:t>
      </w:r>
      <w:r>
        <w:t xml:space="preserve">The Subscription Fee for the Initial Term is</w:t>
      </w:r>
      <w:r>
        <w:t xml:space="preserve"> </w:t>
      </w:r>
      <w:r>
        <w:rPr>
          <w:b/>
          <w:bCs/>
        </w:rPr>
        <w:t xml:space="preserve">eighty thousand dollars ($80,000)</w:t>
      </w:r>
      <w:r>
        <w:t xml:space="preserve">, invoiced in advance on the Subscription Start Date and covering the period from February 1, 2026 through January 31, 2027. Subscription Fees are payable in advance for each Subscription Term and are earned ratably across the applicable Subscription Term.</w:t>
      </w:r>
    </w:p>
    <w:p>
      <w:pPr>
        <w:pStyle w:val="BodyText"/>
      </w:pPr>
      <w:r>
        <w:rPr>
          <w:b/>
          <w:bCs/>
        </w:rPr>
        <w:t xml:space="preserve">5.3 Professional Services Fees.</w:t>
      </w:r>
      <w:r>
        <w:t xml:space="preserve"> </w:t>
      </w:r>
      <w:r>
        <w:t xml:space="preserve">Professional Services described in Exhibit B are provided on a fixed-fee basis of</w:t>
      </w:r>
      <w:r>
        <w:t xml:space="preserve"> </w:t>
      </w:r>
      <w:r>
        <w:rPr>
          <w:b/>
          <w:bCs/>
        </w:rPr>
        <w:t xml:space="preserve">fifteen thousand dollars ($15,000)</w:t>
      </w:r>
      <w:r>
        <w:t xml:space="preserve"> </w:t>
      </w:r>
      <w:r>
        <w:t xml:space="preserve">for the Initial Term implementation, invoiced against Milestones as set out in Exhibit A. Professional Services ordered under any additional Statement of Work will be invoiced as that Statement of Work provides.</w:t>
      </w:r>
    </w:p>
    <w:p>
      <w:pPr>
        <w:pStyle w:val="BodyText"/>
      </w:pPr>
      <w:r>
        <w:rPr>
          <w:b/>
          <w:bCs/>
        </w:rPr>
        <w:t xml:space="preserve">5.4 Annual Uplift.</w:t>
      </w:r>
      <w:r>
        <w:t xml:space="preserve"> </w:t>
      </w:r>
      <w:r>
        <w:t xml:space="preserve">The Subscription Fee payable for each Renewal Term is equal to one hundred seven percent (107%) of the Subscription Fee payable for the immediately preceding Subscription Term, representing an annual increase of seven percent (7%). This uplift applies automatically and does not require notice other than the renewal notice described in Section 1.4. Any additional increase attributable to added Authorized Users, added modules, or usage above the limits stated in Exhibit A is calculated separately and in addition to the uplift under this Section 5.4.</w:t>
      </w:r>
    </w:p>
    <w:p>
      <w:pPr>
        <w:pStyle w:val="BodyText"/>
      </w:pPr>
      <w:r>
        <w:rPr>
          <w:b/>
          <w:bCs/>
        </w:rPr>
        <w:t xml:space="preserve">5.5 Invoicing and Payment Terms.</w:t>
      </w:r>
      <w:r>
        <w:t xml:space="preserve"> </w:t>
      </w:r>
      <w:r>
        <w:t xml:space="preserve">Provider will invoice Customer as provided in Exhibit A. Customer will pay each undisputed invoice within thirty (30) days after the invoice date, in U.S. dollars, by electronic funds transfer to the account designated by Provider in writing. Provider will not change its remittance instructions except by written notice signed by an officer of Provider and confirmed by Customer by telephone to a previously known contact.</w:t>
      </w:r>
    </w:p>
    <w:p>
      <w:pPr>
        <w:pStyle w:val="BodyText"/>
      </w:pPr>
      <w:r>
        <w:rPr>
          <w:b/>
          <w:bCs/>
        </w:rPr>
        <w:t xml:space="preserve">5.6 Taxes.</w:t>
      </w:r>
      <w:r>
        <w:t xml:space="preserve"> </w:t>
      </w:r>
      <w:r>
        <w:t xml:space="preserve">Fees are exclusive of sales, use, value-added, and similar transaction taxes. Customer is responsible for those taxes other than taxes based on Provider’s net income, property, or employees. Customer will provide a valid exemption certificate where applicable.</w:t>
      </w:r>
    </w:p>
    <w:p>
      <w:pPr>
        <w:pStyle w:val="BodyText"/>
      </w:pPr>
      <w:r>
        <w:rPr>
          <w:b/>
          <w:bCs/>
        </w:rPr>
        <w:t xml:space="preserve">5.7 Disputed Amounts.</w:t>
      </w:r>
      <w:r>
        <w:t xml:space="preserve"> </w:t>
      </w:r>
      <w:r>
        <w:t xml:space="preserve">Customer may withhold payment of any invoiced amount that it disputes in good faith, provided that Customer (a) pays all undisputed amounts when due and (b) notifies Provider in writing of the disputed amount and the basis for the dispute within twenty (20) days after the invoice date. The Parties will work in good faith to resolve any disputed amount within thirty (30) days after that notice. Amounts properly disputed under this Section 5.7 are not overdue and do not accrue interest under Section 5.8 while the dispute is pending.</w:t>
      </w:r>
    </w:p>
    <w:p>
      <w:pPr>
        <w:pStyle w:val="BodyText"/>
      </w:pPr>
      <w:r>
        <w:rPr>
          <w:b/>
          <w:bCs/>
        </w:rPr>
        <w:t xml:space="preserve">5.8 Late Payment.</w:t>
      </w:r>
      <w:r>
        <w:t xml:space="preserve"> </w:t>
      </w:r>
      <w:r>
        <w:t xml:space="preserve">Undisputed amounts not paid when due accrue interest at the lesser of one and one-half percent (1.5%) per month or the maximum rate permitted by Applicable Law, calculated from the due date until paid.</w:t>
      </w:r>
    </w:p>
    <w:p>
      <w:pPr>
        <w:pStyle w:val="BodyText"/>
      </w:pPr>
      <w:r>
        <w:rPr>
          <w:b/>
          <w:bCs/>
        </w:rPr>
        <w:t xml:space="preserve">5.9 Suspension for Non-Payment.</w:t>
      </w:r>
      <w:r>
        <w:t xml:space="preserve"> </w:t>
      </w:r>
      <w:r>
        <w:t xml:space="preserve">If any undisputed amount remains unpaid more than forty-five (45) days after its due date, Provider may suspend the Subscription Services after giving Customer at least ten (10) Business Days’ prior written notice and an opportunity to cure. Provider will restore access promptly after payment. Suspension under this Section 5.9 does not relieve Customer of its payment obligations and does not extend the Subscription Term.</w:t>
      </w:r>
    </w:p>
    <w:p>
      <w:pPr>
        <w:pStyle w:val="BodyText"/>
      </w:pPr>
      <w:r>
        <w:rPr>
          <w:b/>
          <w:bCs/>
        </w:rPr>
        <w:t xml:space="preserve">5.10 Expenses.</w:t>
      </w:r>
      <w:r>
        <w:t xml:space="preserve"> </w:t>
      </w:r>
      <w:r>
        <w:t xml:space="preserve">Provider will invoice reasonable and documented travel and lodging expenses incurred at Customer’s request only, subject to Customer’s written pre-approval and to Customer’s then-current travel and expense policy provided to Provider. Expenses invoiced under this Section 5.10 will not exceed five percent (5%) of the Professional Services fees stated in Section 5.3 without Customer’s prior written approval.</w:t>
      </w:r>
    </w:p>
    <w:bookmarkEnd w:id="14"/>
    <w:bookmarkStart w:id="15" w:name="limitation-of-liability"/>
    <w:p>
      <w:pPr>
        <w:pStyle w:val="Heading2"/>
      </w:pPr>
      <w:r>
        <w:rPr>
          <w:rStyle w:val="SectionNumber"/>
        </w:rPr>
        <w:t xml:space="preserve">1.7</w:t>
      </w:r>
      <w:r>
        <w:tab/>
      </w:r>
      <w:r>
        <w:t xml:space="preserve">6. Limitation of Liability</w:t>
      </w:r>
    </w:p>
    <w:p>
      <w:pPr>
        <w:pStyle w:val="FirstParagraph"/>
      </w:pPr>
      <w:r>
        <w:rPr>
          <w:b/>
          <w:bCs/>
        </w:rPr>
        <w:t xml:space="preserve">6.1 Liability Cap.</w:t>
      </w:r>
      <w:r>
        <w:t xml:space="preserve"> </w:t>
      </w:r>
      <w:r>
        <w:t xml:space="preserve">Except as provided in Section 6.3, each Party’s total aggregate liability arising out of or relating to this Agreement, whether in contract, tort (including negligence), strict liability, or otherwise, will not exceed an amount equal to</w:t>
      </w:r>
      <w:r>
        <w:t xml:space="preserve"> </w:t>
      </w:r>
      <w:r>
        <w:rPr>
          <w:b/>
          <w:bCs/>
        </w:rPr>
        <w:t xml:space="preserve">the total Fees paid or payable by Customer to Provider under this Agreement during the twelve (12) month period immediately preceding the event first giving rise to the claim</w:t>
      </w:r>
      <w:r>
        <w:t xml:space="preserve">. Where the event first giving rise to the claim occurs before the first anniversary of the Subscription Start Date, the cap is calculated by reference to the Fees payable for the Initial Term.</w:t>
      </w:r>
    </w:p>
    <w:p>
      <w:pPr>
        <w:pStyle w:val="BodyText"/>
      </w:pPr>
      <w:r>
        <w:rPr>
          <w:b/>
          <w:bCs/>
        </w:rPr>
        <w:t xml:space="preserve">6.2 Waiver of Consequential Damages.</w:t>
      </w:r>
      <w:r>
        <w:t xml:space="preserve"> </w:t>
      </w:r>
      <w:r>
        <w:t xml:space="preserve">Notwithstanding any other provision of this Agreement, neither Party will be liable to the other for any indirect, incidental, special, consequential, exemplary, or punitive damages, or for any loss of profits, loss of revenue, loss of anticipated savings, loss of business opportunity, loss of goodwill, or loss or corruption of data, however caused and under any theory of liability, whether or not that Party has been advised of the possibility of those damages and whether or not those damages were foreseeable.</w:t>
      </w:r>
    </w:p>
    <w:p>
      <w:pPr>
        <w:pStyle w:val="BodyText"/>
      </w:pPr>
      <w:r>
        <w:rPr>
          <w:b/>
          <w:bCs/>
        </w:rPr>
        <w:t xml:space="preserve">6.3 Exceptions to the Liability Cap.</w:t>
      </w:r>
      <w:r>
        <w:t xml:space="preserve"> </w:t>
      </w:r>
      <w:r>
        <w:t xml:space="preserve">The limitation set out in Section 6.1 does not apply to: (a) Customer’s obligation to pay Fees due under Section 5; (b) either Party’s indemnification obligations under Section 8; (c) a Party’s breach of its confidentiality obligations under Section 10; (d) Provider’s breach of Section 9 (Data Protection and Security) or the DPA; or (e) a Party’s gross negligence, willful misconduct, or fraud.</w:t>
      </w:r>
      <w:r>
        <w:t xml:space="preserve"> </w:t>
      </w:r>
      <w:r>
        <w:rPr>
          <w:b/>
          <w:bCs/>
        </w:rPr>
        <w:t xml:space="preserve">The exceptions set out in this Section 6.3 apply only to the limitation of liability set out in Section 6.1 and do not limit, qualify, or create any exception to the waiver of damages set out in Section 6.2.</w:t>
      </w:r>
    </w:p>
    <w:p>
      <w:pPr>
        <w:pStyle w:val="BodyText"/>
      </w:pPr>
      <w:r>
        <w:rPr>
          <w:b/>
          <w:bCs/>
        </w:rPr>
        <w:t xml:space="preserve">6.4 Allocation of Risk.</w:t>
      </w:r>
      <w:r>
        <w:t xml:space="preserve"> </w:t>
      </w:r>
      <w:r>
        <w:t xml:space="preserve">The Parties acknowledge that the limitations and exclusions in this Section 6 are an essential basis of the bargain between them, that the Fees reflect that allocation of risk, and that these limitations and exclusions apply even if a limited remedy in this Agreement fails of its essential purpose.</w:t>
      </w:r>
    </w:p>
    <w:p>
      <w:pPr>
        <w:pStyle w:val="BodyText"/>
      </w:pPr>
      <w:r>
        <w:rPr>
          <w:b/>
          <w:bCs/>
        </w:rPr>
        <w:t xml:space="preserve">6.5 Statute of Limitations.</w:t>
      </w:r>
      <w:r>
        <w:t xml:space="preserve"> </w:t>
      </w:r>
      <w:r>
        <w:t xml:space="preserve">Except for claims for non-payment, neither Party may bring any claim arising out of or relating to this Agreement more than two (2) years after the date on which the claiming Party first became aware, or reasonably should have become aware, of the facts giving rise to the claim.</w:t>
      </w:r>
    </w:p>
    <w:bookmarkEnd w:id="15"/>
    <w:bookmarkStart w:id="16" w:name="termination"/>
    <w:p>
      <w:pPr>
        <w:pStyle w:val="Heading2"/>
      </w:pPr>
      <w:r>
        <w:rPr>
          <w:rStyle w:val="SectionNumber"/>
        </w:rPr>
        <w:t xml:space="preserve">1.8</w:t>
      </w:r>
      <w:r>
        <w:tab/>
      </w:r>
      <w:r>
        <w:t xml:space="preserve">7. Termination</w:t>
      </w:r>
    </w:p>
    <w:p>
      <w:pPr>
        <w:pStyle w:val="FirstParagraph"/>
      </w:pPr>
      <w:r>
        <w:rPr>
          <w:b/>
          <w:bCs/>
        </w:rPr>
        <w:t xml:space="preserve">7.1 Termination for Cause.</w:t>
      </w:r>
      <w:r>
        <w:t xml:space="preserve"> </w:t>
      </w:r>
      <w:r>
        <w:t xml:space="preserve">Either Party may terminate this Agreement, any Order Form, or any Statement of Work, in whole or in part, by written notice to the other Party if:</w:t>
      </w:r>
    </w:p>
    <w:p>
      <w:pPr>
        <w:numPr>
          <w:ilvl w:val="0"/>
          <w:numId w:val="1001"/>
        </w:numPr>
      </w:pPr>
      <w:r>
        <w:t xml:space="preserve">the other Party materially breaches this Agreement and fails to cure that breach within thirty (30) days after receiving written notice describing the breach in reasonable detail;</w:t>
      </w:r>
    </w:p>
    <w:p>
      <w:pPr>
        <w:numPr>
          <w:ilvl w:val="0"/>
          <w:numId w:val="1001"/>
        </w:numPr>
      </w:pPr>
      <w:r>
        <w:t xml:space="preserve">the other Party becomes insolvent, makes a general assignment for the benefit of creditors, files or has filed against it a petition in bankruptcy that is not dismissed within sixty (60) days, or has a receiver appointed over a material part of its assets; or</w:t>
      </w:r>
    </w:p>
    <w:p>
      <w:pPr>
        <w:numPr>
          <w:ilvl w:val="0"/>
          <w:numId w:val="1001"/>
        </w:numPr>
      </w:pPr>
      <w:r>
        <w:t xml:space="preserve">in the case of Customer, the Platform fails to meet the monthly availability commitment set out in Exhibit D in any three (3) months within a rolling six (6) month period, in which case Customer may terminate on thirty (30) days’ written notice given within forty-five (45) days after the third such month.</w:t>
      </w:r>
    </w:p>
    <w:p>
      <w:pPr>
        <w:pStyle w:val="FirstParagraph"/>
      </w:pPr>
      <w:r>
        <w:rPr>
          <w:b/>
          <w:bCs/>
        </w:rPr>
        <w:t xml:space="preserve">7.2 Termination for Convenience.</w:t>
      </w:r>
      <w:r>
        <w:t xml:space="preserve"> </w:t>
      </w:r>
      <w:r>
        <w:t xml:space="preserve">Either Party may terminate this Agreement, or any Statement of Work, for any reason or no reason upon thirty (30) days’ prior written notice to the other Party. If Provider terminates under this Section 7.2, Provider will refund to Customer a pro-rata portion of any prepaid Subscription Fees corresponding to the remainder of the then-current Subscription Term, calculated from the effective date of termination. If Customer terminates under this Section 7.2, prepaid Subscription Fees are not refundable, and Customer will pay for all Professional Services performed and non-cancellable commitments incurred through the effective date of termination.</w:t>
      </w:r>
    </w:p>
    <w:p>
      <w:pPr>
        <w:pStyle w:val="BodyText"/>
      </w:pPr>
      <w:r>
        <w:rPr>
          <w:b/>
          <w:bCs/>
        </w:rPr>
        <w:t xml:space="preserve">7.3 Effect of Termination.</w:t>
      </w:r>
      <w:r>
        <w:t xml:space="preserve"> </w:t>
      </w:r>
      <w:r>
        <w:t xml:space="preserve">On the effective date of expiration or termination: (a) all rights granted to Customer under Section 2.1 cease; (b) Customer will pay all amounts accrued and unpaid as of that date; (c) each Party will comply with Section 10.5 in respect of the other Party’s Confidential Information; and (d) Provider will make Customer Data available for export as provided in Section 9.6.</w:t>
      </w:r>
    </w:p>
    <w:p>
      <w:pPr>
        <w:pStyle w:val="BodyText"/>
      </w:pPr>
      <w:r>
        <w:rPr>
          <w:b/>
          <w:bCs/>
        </w:rPr>
        <w:t xml:space="preserve">7.4 Transition Assistance.</w:t>
      </w:r>
      <w:r>
        <w:t xml:space="preserve"> </w:t>
      </w:r>
      <w:r>
        <w:t xml:space="preserve">On Customer’s written request made no later than thirty (30) days after the effective date of expiration or termination, Provider will provide reasonable transition assistance for a period of up to ninety (90) days, at Provider’s then-current time-and-materials rates, to support the migration of Customer Data and configuration to Customer or to a successor provider. Provider will provide transition assistance under this Section 7.4 regardless of the reason for termination, provided that Customer pays undisputed amounts then due.</w:t>
      </w:r>
    </w:p>
    <w:p>
      <w:pPr>
        <w:pStyle w:val="BodyText"/>
      </w:pPr>
      <w:r>
        <w:rPr>
          <w:b/>
          <w:bCs/>
        </w:rPr>
        <w:t xml:space="preserve">7.5 Survival.</w:t>
      </w:r>
      <w:r>
        <w:t xml:space="preserve"> </w:t>
      </w:r>
      <w:r>
        <w:t xml:space="preserve">Sections 3.3, 5 (as to amounts accrued before termination), 6, 7.3, 7.4, 7.5, 8, 9.6, 10, 12, 13.4, 16, 19, 20, and 21 survive expiration or termination of this Agreement.</w:t>
      </w:r>
    </w:p>
    <w:bookmarkEnd w:id="16"/>
    <w:bookmarkStart w:id="17" w:name="indemnification"/>
    <w:p>
      <w:pPr>
        <w:pStyle w:val="Heading2"/>
      </w:pPr>
      <w:r>
        <w:rPr>
          <w:rStyle w:val="SectionNumber"/>
        </w:rPr>
        <w:t xml:space="preserve">1.9</w:t>
      </w:r>
      <w:r>
        <w:tab/>
      </w:r>
      <w:r>
        <w:t xml:space="preserve">8. Indemnification</w:t>
      </w:r>
    </w:p>
    <w:p>
      <w:pPr>
        <w:pStyle w:val="FirstParagraph"/>
      </w:pPr>
      <w:r>
        <w:rPr>
          <w:b/>
          <w:bCs/>
        </w:rPr>
        <w:t xml:space="preserve">8.1 Provider Indemnity: Intellectual Property.</w:t>
      </w:r>
      <w:r>
        <w:t xml:space="preserve"> </w:t>
      </w:r>
      <w:r>
        <w:t xml:space="preserve">Provider will,</w:t>
      </w:r>
      <w:r>
        <w:t xml:space="preserve"> </w:t>
      </w:r>
      <w:r>
        <w:rPr>
          <w:b/>
          <w:bCs/>
        </w:rPr>
        <w:t xml:space="preserve">at its sole cost and expense</w:t>
      </w:r>
      <w:r>
        <w:t xml:space="preserve">, defend Customer, its Affiliates, and their respective officers, directors, employees, and agents (each, a</w:t>
      </w:r>
      <w:r>
        <w:t xml:space="preserve"> </w:t>
      </w:r>
      <w:r>
        <w:t xml:space="preserve">“</w:t>
      </w:r>
      <w:r>
        <w:rPr>
          <w:b/>
          <w:bCs/>
        </w:rPr>
        <w:t xml:space="preserve">Customer Indemnified Party</w:t>
      </w:r>
      <w:r>
        <w:t xml:space="preserve">”</w:t>
      </w:r>
      <w:r>
        <w:t xml:space="preserve">) against any third-party claim, demand, suit, or proceeding alleging that the Platform, the Documentation, or any Provider deliverable, as furnished by Provider and used in accordance with this Agreement, infringes or misappropriates that third party’s patent, copyright, trademark, or trade secret rights, and will indemnify and hold harmless each Customer Indemnified Party from and against all Losses finally awarded against it or agreed in settlement in connection with that claim.</w:t>
      </w:r>
    </w:p>
    <w:p>
      <w:pPr>
        <w:pStyle w:val="BodyText"/>
      </w:pPr>
      <w:r>
        <w:rPr>
          <w:b/>
          <w:bCs/>
        </w:rPr>
        <w:t xml:space="preserve">8.2 Provider Indemnity: Data and Compliance.</w:t>
      </w:r>
      <w:r>
        <w:t xml:space="preserve"> </w:t>
      </w:r>
      <w:r>
        <w:t xml:space="preserve">Provider will, at its sole cost and expense, defend each Customer Indemnified Party against any third-party claim arising out of (a) Provider’s breach of Section 9 or the DPA, (b) a Security Incident caused by Provider’s failure to implement the safeguards described in Exhibit C, or (c) Provider’s violation of Applicable Law in performing under this Agreement, and will indemnify and hold harmless each Customer Indemnified Party from and against all Losses finally awarded against it or agreed in settlement in connection with that claim.</w:t>
      </w:r>
    </w:p>
    <w:p>
      <w:pPr>
        <w:pStyle w:val="BodyText"/>
      </w:pPr>
      <w:r>
        <w:rPr>
          <w:b/>
          <w:bCs/>
        </w:rPr>
        <w:t xml:space="preserve">8.3 Customer Indemnity.</w:t>
      </w:r>
      <w:r>
        <w:t xml:space="preserve"> </w:t>
      </w:r>
      <w:r>
        <w:t xml:space="preserve">Customer will, at its sole cost and expense, defend Provider, its Affiliates, and their respective officers, directors, employees, and agents against any third-party claim arising out of (a) Customer Data, including any claim that Customer Data infringes or misappropriates a third party’s rights or violates Applicable Law, or (b) Customer’s use of the Platform in breach of Section 3.3, and will indemnify and hold harmless those parties from and against all Losses finally awarded against them or agreed in settlement in connection with that claim.</w:t>
      </w:r>
    </w:p>
    <w:p>
      <w:pPr>
        <w:pStyle w:val="BodyText"/>
      </w:pPr>
      <w:r>
        <w:rPr>
          <w:b/>
          <w:bCs/>
        </w:rPr>
        <w:t xml:space="preserve">8.4 Indemnification Procedure.</w:t>
      </w:r>
      <w:r>
        <w:t xml:space="preserve"> </w:t>
      </w:r>
      <w:r>
        <w:t xml:space="preserve">The Party seeking indemnification (the</w:t>
      </w:r>
      <w:r>
        <w:t xml:space="preserve"> </w:t>
      </w:r>
      <w:r>
        <w:t xml:space="preserve">“</w:t>
      </w:r>
      <w:r>
        <w:rPr>
          <w:b/>
          <w:bCs/>
        </w:rPr>
        <w:t xml:space="preserve">Indemnified Party</w:t>
      </w:r>
      <w:r>
        <w:t xml:space="preserve">”</w:t>
      </w:r>
      <w:r>
        <w:t xml:space="preserve">) will (a) give the other Party (the</w:t>
      </w:r>
      <w:r>
        <w:t xml:space="preserve"> </w:t>
      </w:r>
      <w:r>
        <w:t xml:space="preserve">“</w:t>
      </w:r>
      <w:r>
        <w:rPr>
          <w:b/>
          <w:bCs/>
        </w:rPr>
        <w:t xml:space="preserve">Indemnifying Party</w:t>
      </w:r>
      <w:r>
        <w:t xml:space="preserve">”</w:t>
      </w:r>
      <w:r>
        <w:t xml:space="preserve">) prompt written notice of the claim, provided that a delay in notice relieves the Indemnifying Party of its obligations only to the extent it is materially prejudiced by the delay; (b) give the Indemnifying Party sole control of the defense and settlement of the claim, except that the Indemnifying Party may not settle any claim in a manner that imposes any non-monetary obligation, admission of liability, or unindemnified payment on the Indemnified Party without the Indemnified Party’s prior written consent, not to be unreasonably withheld; and (c) provide reasonable cooperation at the Indemnifying Party’s expense. The Indemnified Party may participate in the defense at its own expense with counsel of its choosing.</w:t>
      </w:r>
    </w:p>
    <w:p>
      <w:pPr>
        <w:pStyle w:val="BodyText"/>
      </w:pPr>
      <w:r>
        <w:rPr>
          <w:b/>
          <w:bCs/>
        </w:rPr>
        <w:t xml:space="preserve">8.5 Infringement Remedies.</w:t>
      </w:r>
      <w:r>
        <w:t xml:space="preserve"> </w:t>
      </w:r>
      <w:r>
        <w:t xml:space="preserve">If the Platform becomes, or in Provider’s reasonable opinion is likely to become, the subject of a claim covered by Section 8.1, Provider will, at its option and expense: (a) procure for Customer the right to continue using the Platform; (b) modify or replace the Platform so that it is non-infringing while remaining materially equivalent in functionality; or (c) if neither (a) nor (b) is commercially reasonable, terminate the affected subscription on written notice and refund to Customer a pro-rata portion of the prepaid Subscription Fees for the terminated portion of the then-current Subscription Term.</w:t>
      </w:r>
    </w:p>
    <w:p>
      <w:pPr>
        <w:pStyle w:val="BodyText"/>
      </w:pPr>
      <w:r>
        <w:rPr>
          <w:b/>
          <w:bCs/>
        </w:rPr>
        <w:t xml:space="preserve">8.6 Exclusions.</w:t>
      </w:r>
      <w:r>
        <w:t xml:space="preserve"> </w:t>
      </w:r>
      <w:r>
        <w:t xml:space="preserve">Provider has no obligation under Section 8.1 to the extent a claim arises from (a) Customer Data; (b) modification of the Platform by anyone other than Provider or its subcontractors; (c) combination of the Platform with products, services, or data not provided or authorized by Provider, where the claim would have been avoided but for that combination; or (d) Customer’s continued use of an allegedly infringing version after Provider has made a non-infringing version available at no additional charge and with materially equivalent functionality.</w:t>
      </w:r>
    </w:p>
    <w:p>
      <w:pPr>
        <w:pStyle w:val="BodyText"/>
      </w:pPr>
      <w:r>
        <w:rPr>
          <w:b/>
          <w:bCs/>
        </w:rPr>
        <w:t xml:space="preserve">8.7 Sole Remedy.</w:t>
      </w:r>
      <w:r>
        <w:t xml:space="preserve"> </w:t>
      </w:r>
      <w:r>
        <w:t xml:space="preserve">Sections 8.1, 8.5, and 8.6 state Provider’s entire liability and Customer’s exclusive remedy for any claim of infringement or misappropriation of Intellectual Property Rights.</w:t>
      </w:r>
    </w:p>
    <w:bookmarkEnd w:id="17"/>
    <w:bookmarkStart w:id="18" w:name="data-protection-and-security"/>
    <w:p>
      <w:pPr>
        <w:pStyle w:val="Heading2"/>
      </w:pPr>
      <w:r>
        <w:rPr>
          <w:rStyle w:val="SectionNumber"/>
        </w:rPr>
        <w:t xml:space="preserve">1.10</w:t>
      </w:r>
      <w:r>
        <w:tab/>
      </w:r>
      <w:r>
        <w:t xml:space="preserve">9. Data Protection and Security</w:t>
      </w:r>
    </w:p>
    <w:p>
      <w:pPr>
        <w:pStyle w:val="FirstParagraph"/>
      </w:pPr>
      <w:r>
        <w:rPr>
          <w:b/>
          <w:bCs/>
        </w:rPr>
        <w:t xml:space="preserve">9.1 Data Processing Addendum.</w:t>
      </w:r>
      <w:r>
        <w:t xml:space="preserve"> </w:t>
      </w:r>
      <w:r>
        <w:t xml:space="preserve">The Parties’ respective obligations in relation to Personal Data are set out in the Data Processing Addendum attached as</w:t>
      </w:r>
      <w:r>
        <w:t xml:space="preserve"> </w:t>
      </w:r>
      <w:r>
        <w:rPr>
          <w:b/>
          <w:bCs/>
        </w:rPr>
        <w:t xml:space="preserve">Exhibit C</w:t>
      </w:r>
      <w:r>
        <w:t xml:space="preserve"> </w:t>
      </w:r>
      <w:r>
        <w:t xml:space="preserve">(the</w:t>
      </w:r>
      <w:r>
        <w:t xml:space="preserve"> </w:t>
      </w:r>
      <w:r>
        <w:t xml:space="preserve">“</w:t>
      </w:r>
      <w:r>
        <w:rPr>
          <w:b/>
          <w:bCs/>
        </w:rPr>
        <w:t xml:space="preserve">DPA</w:t>
      </w:r>
      <w:r>
        <w:t xml:space="preserve">”</w:t>
      </w:r>
      <w:r>
        <w:t xml:space="preserve">), which is incorporated into and forms part of this Agreement. In the event of a conflict between the DPA and the body of this Agreement in respect of the processing of Personal Data, the DPA controls.</w:t>
      </w:r>
    </w:p>
    <w:p>
      <w:pPr>
        <w:pStyle w:val="BodyText"/>
      </w:pPr>
      <w:r>
        <w:rPr>
          <w:b/>
          <w:bCs/>
        </w:rPr>
        <w:t xml:space="preserve">9.2 Roles.</w:t>
      </w:r>
      <w:r>
        <w:t xml:space="preserve"> </w:t>
      </w:r>
      <w:r>
        <w:t xml:space="preserve">As between the Parties and in respect of Customer Data, Customer is the controller (or business) and Provider is the processor (or service provider). Provider will process Personal Data only on Customer’s documented instructions, which include this Agreement, the DPA, and Customer’s use of the Platform, unless Applicable Law requires otherwise, in which case Provider will notify Customer before processing unless that notice is prohibited by law.</w:t>
      </w:r>
    </w:p>
    <w:p>
      <w:pPr>
        <w:pStyle w:val="BodyText"/>
      </w:pPr>
      <w:r>
        <w:rPr>
          <w:b/>
          <w:bCs/>
        </w:rPr>
        <w:t xml:space="preserve">9.3 Security Program.</w:t>
      </w:r>
      <w:r>
        <w:t xml:space="preserve"> </w:t>
      </w:r>
      <w:r>
        <w:t xml:space="preserve">Provider will maintain an information security program that meets or exceeds the administrative, physical, and technical safeguards described in Schedule C-2 to the DPA, including encryption of Customer Data in transit and at rest, role-based access control, logging, vulnerability management, and annual penetration testing. Provider will maintain a SOC 2 Type II report covering the Platform and will provide the most recent report to Customer on request, no more than once per calendar year, subject to Section 10.</w:t>
      </w:r>
    </w:p>
    <w:p>
      <w:pPr>
        <w:pStyle w:val="BodyText"/>
      </w:pPr>
      <w:r>
        <w:rPr>
          <w:b/>
          <w:bCs/>
        </w:rPr>
        <w:t xml:space="preserve">9.4 Security Incidents.</w:t>
      </w:r>
      <w:r>
        <w:t xml:space="preserve"> </w:t>
      </w:r>
      <w:r>
        <w:t xml:space="preserve">Provider will notify Customer without undue delay, and in any event within seventy-two (72) hours, after becoming aware of a Security Incident affecting Customer Data, and will provide the information reasonably necessary for Customer to meet its own notification obligations. Provider will investigate each Security Incident, take reasonable steps to mitigate its effects, and provide Customer with a written incident report within fifteen (15) Business Days after containment.</w:t>
      </w:r>
    </w:p>
    <w:p>
      <w:pPr>
        <w:pStyle w:val="BodyText"/>
      </w:pPr>
      <w:r>
        <w:rPr>
          <w:b/>
          <w:bCs/>
        </w:rPr>
        <w:t xml:space="preserve">9.5 Subprocessors.</w:t>
      </w:r>
      <w:r>
        <w:t xml:space="preserve"> </w:t>
      </w:r>
      <w:r>
        <w:t xml:space="preserve">Provider may engage the subprocessors listed in</w:t>
      </w:r>
      <w:r>
        <w:t xml:space="preserve"> </w:t>
      </w:r>
      <w:r>
        <w:rPr>
          <w:b/>
          <w:bCs/>
        </w:rPr>
        <w:t xml:space="preserve">Exhibit E</w:t>
      </w:r>
      <w:r>
        <w:t xml:space="preserve">. Provider will give Customer at least thirty (30) days’ prior written notice before adding or replacing a subprocessor, and Customer may object on reasonable data-protection grounds within that period. If the Parties cannot resolve the objection, Customer may terminate the affected Subscription Services under Section 7.1(a) without further cure period and receive a pro-rata refund of prepaid Subscription Fees. Provider remains responsible for the acts and omissions of its subprocessors as if they were Provider’s own.</w:t>
      </w:r>
    </w:p>
    <w:p>
      <w:pPr>
        <w:pStyle w:val="BodyText"/>
      </w:pPr>
      <w:r>
        <w:rPr>
          <w:b/>
          <w:bCs/>
        </w:rPr>
        <w:t xml:space="preserve">9.6 Return and Deletion.</w:t>
      </w:r>
      <w:r>
        <w:t xml:space="preserve"> </w:t>
      </w:r>
      <w:r>
        <w:t xml:space="preserve">During the Subscription Term and for thirty (30) days after its expiration or termination, Provider will make Customer Data available for export in a structured, machine-readable format at no additional charge. After that period, Provider will delete Customer Data within a further sixty (60) days, except for copies retained in routine backups (which Provider will delete on its ordinary backup cycle) or as required by Applicable Law, and will certify deletion in writing on Customer’s request.</w:t>
      </w:r>
    </w:p>
    <w:p>
      <w:pPr>
        <w:pStyle w:val="BodyText"/>
      </w:pPr>
      <w:r>
        <w:rPr>
          <w:b/>
          <w:bCs/>
        </w:rPr>
        <w:t xml:space="preserve">9.7 No Training on Customer Data.</w:t>
      </w:r>
      <w:r>
        <w:t xml:space="preserve"> </w:t>
      </w:r>
      <w:r>
        <w:t xml:space="preserve">Provider will not use Customer Data to train, fine-tune, or otherwise develop any machine-learning model made available to any party other than Customer. Provider may use aggregated and de-identified usage statistics that do not identify Customer, any Authorized User, or any individual to operate and improve the Platform.</w:t>
      </w:r>
    </w:p>
    <w:bookmarkEnd w:id="18"/>
    <w:bookmarkStart w:id="19" w:name="confidentiality"/>
    <w:p>
      <w:pPr>
        <w:pStyle w:val="Heading2"/>
      </w:pPr>
      <w:r>
        <w:rPr>
          <w:rStyle w:val="SectionNumber"/>
        </w:rPr>
        <w:t xml:space="preserve">1.11</w:t>
      </w:r>
      <w:r>
        <w:tab/>
      </w:r>
      <w:r>
        <w:t xml:space="preserve">10. Confidentiality</w:t>
      </w:r>
    </w:p>
    <w:p>
      <w:pPr>
        <w:pStyle w:val="FirstParagraph"/>
      </w:pPr>
      <w:r>
        <w:rPr>
          <w:b/>
          <w:bCs/>
        </w:rPr>
        <w:t xml:space="preserve">10.1 Definition.</w:t>
      </w:r>
      <w:r>
        <w:t xml:space="preserve"> </w:t>
      </w:r>
      <w:r>
        <w:t xml:space="preserve">“</w:t>
      </w:r>
      <w:r>
        <w:rPr>
          <w:b/>
          <w:bCs/>
        </w:rPr>
        <w:t xml:space="preserve">Confidential Information</w:t>
      </w:r>
      <w:r>
        <w:t xml:space="preserve">”</w:t>
      </w:r>
      <w:r>
        <w:t xml:space="preserve"> </w:t>
      </w:r>
      <w:r>
        <w:t xml:space="preserve">means non-public information disclosed by one Party (the</w:t>
      </w:r>
      <w:r>
        <w:t xml:space="preserve"> </w:t>
      </w:r>
      <w:r>
        <w:t xml:space="preserve">“</w:t>
      </w:r>
      <w:r>
        <w:rPr>
          <w:b/>
          <w:bCs/>
        </w:rPr>
        <w:t xml:space="preserve">Disclosing Party</w:t>
      </w:r>
      <w:r>
        <w:t xml:space="preserve">”</w:t>
      </w:r>
      <w:r>
        <w:t xml:space="preserve">) to the other (the</w:t>
      </w:r>
      <w:r>
        <w:t xml:space="preserve"> </w:t>
      </w:r>
      <w:r>
        <w:t xml:space="preserve">“</w:t>
      </w:r>
      <w:r>
        <w:rPr>
          <w:b/>
          <w:bCs/>
        </w:rPr>
        <w:t xml:space="preserve">Receiving Party</w:t>
      </w:r>
      <w:r>
        <w:t xml:space="preserve">”</w:t>
      </w:r>
      <w:r>
        <w:t xml:space="preserve">) that is designated as confidential or that a reasonable person would understand to be confidential given its nature and the circumstances of disclosure. Customer Data is Customer’s Confidential Information. The terms of this Agreement are the Confidential Information of both Parties.</w:t>
      </w:r>
    </w:p>
    <w:p>
      <w:pPr>
        <w:pStyle w:val="BodyText"/>
      </w:pPr>
      <w:r>
        <w:rPr>
          <w:b/>
          <w:bCs/>
        </w:rPr>
        <w:t xml:space="preserve">10.2 Exclusions.</w:t>
      </w:r>
      <w:r>
        <w:t xml:space="preserve"> </w:t>
      </w:r>
      <w:r>
        <w:t xml:space="preserve">Confidential Information does not include information that (a) is or becomes publicly available other than through breach of this Section 10; (b) was rightfully known to the Receiving Party without restriction before disclosure; (c) is rightfully received from a third party without restriction; or (d) is independently developed by the Receiving Party without use of or reference to the Disclosing Party’s Confidential Information.</w:t>
      </w:r>
    </w:p>
    <w:p>
      <w:pPr>
        <w:pStyle w:val="BodyText"/>
      </w:pPr>
      <w:r>
        <w:rPr>
          <w:b/>
          <w:bCs/>
        </w:rPr>
        <w:t xml:space="preserve">10.3 Obligations.</w:t>
      </w:r>
      <w:r>
        <w:t xml:space="preserve"> </w:t>
      </w:r>
      <w:r>
        <w:t xml:space="preserve">The Receiving Party will (a) use the Disclosing Party’s Confidential Information only to perform or exercise its rights under this Agreement, (b) protect it using at least the degree of care it uses for its own confidential information of like importance and in no event less than reasonable care, and (c) disclose it only to its employees, Affiliates, contractors, and professional advisors who need to know it and who are bound by confidentiality obligations no less protective than this Section 10.</w:t>
      </w:r>
    </w:p>
    <w:p>
      <w:pPr>
        <w:pStyle w:val="BodyText"/>
      </w:pPr>
      <w:r>
        <w:rPr>
          <w:b/>
          <w:bCs/>
        </w:rPr>
        <w:t xml:space="preserve">10.4 Compelled Disclosure.</w:t>
      </w:r>
      <w:r>
        <w:t xml:space="preserve"> </w:t>
      </w:r>
      <w:r>
        <w:t xml:space="preserve">The Receiving Party may disclose Confidential Information to the extent required by Applicable Law or an order of a court or governmental authority, provided that, unless prohibited by law, it gives the Disclosing Party prompt written notice and reasonable cooperation, at the Disclosing Party’s expense, to seek a protective order.</w:t>
      </w:r>
    </w:p>
    <w:p>
      <w:pPr>
        <w:pStyle w:val="BodyText"/>
      </w:pPr>
      <w:r>
        <w:rPr>
          <w:b/>
          <w:bCs/>
        </w:rPr>
        <w:t xml:space="preserve">10.5 Return or Destruction.</w:t>
      </w:r>
      <w:r>
        <w:t xml:space="preserve"> </w:t>
      </w:r>
      <w:r>
        <w:t xml:space="preserve">On the Disclosing Party’s written request following expiration or termination, the Receiving Party will return or destroy the Disclosing Party’s Confidential Information in its possession, except for (a) Customer Data, which is governed by Section 9.6, and (b) copies retained in automated backup systems or as required by Applicable Law or bona fide document-retention policy, which remain subject to this Section 10 for so long as they are retained.</w:t>
      </w:r>
    </w:p>
    <w:p>
      <w:pPr>
        <w:pStyle w:val="BodyText"/>
      </w:pPr>
      <w:r>
        <w:rPr>
          <w:b/>
          <w:bCs/>
        </w:rPr>
        <w:t xml:space="preserve">10.6 Duration.</w:t>
      </w:r>
      <w:r>
        <w:t xml:space="preserve"> </w:t>
      </w:r>
      <w:r>
        <w:t xml:space="preserve">The obligations in this Section 10 continue for three (3) years after expiration or termination of this Agreement, except that obligations in respect of trade secrets continue for so long as the information remains a trade secret under Applicable Law.</w:t>
      </w:r>
    </w:p>
    <w:bookmarkEnd w:id="19"/>
    <w:bookmarkStart w:id="20" w:name="insurance"/>
    <w:p>
      <w:pPr>
        <w:pStyle w:val="Heading2"/>
      </w:pPr>
      <w:r>
        <w:rPr>
          <w:rStyle w:val="SectionNumber"/>
        </w:rPr>
        <w:t xml:space="preserve">1.12</w:t>
      </w:r>
      <w:r>
        <w:tab/>
      </w:r>
      <w:r>
        <w:t xml:space="preserve">11. Insurance</w:t>
      </w:r>
    </w:p>
    <w:p>
      <w:pPr>
        <w:pStyle w:val="FirstParagraph"/>
      </w:pPr>
      <w:r>
        <w:rPr>
          <w:b/>
          <w:bCs/>
        </w:rPr>
        <w:t xml:space="preserve">11.1 Required Coverage.</w:t>
      </w:r>
      <w:r>
        <w:t xml:space="preserve"> </w:t>
      </w:r>
      <w:r>
        <w:t xml:space="preserve">Throughout the Term and for two (2) years thereafter, Provider will maintain, at its own expense, insurance with insurers rated A- VIII or better by A.M. Best, with the following minimum limits:</w:t>
      </w:r>
    </w:p>
    <w:p>
      <w:pPr>
        <w:numPr>
          <w:ilvl w:val="0"/>
          <w:numId w:val="1002"/>
        </w:numPr>
      </w:pPr>
      <w:r>
        <w:t xml:space="preserve">Commercial general liability: one million dollars ($1,000,000) per occurrence and two million dollars ($2,000,000) in the aggregate;</w:t>
      </w:r>
    </w:p>
    <w:p>
      <w:pPr>
        <w:numPr>
          <w:ilvl w:val="0"/>
          <w:numId w:val="1002"/>
        </w:numPr>
      </w:pPr>
      <w:r>
        <w:rPr>
          <w:b/>
          <w:bCs/>
        </w:rPr>
        <w:t xml:space="preserve">Professional liability (errors and omissions), including technology errors and omissions: two million dollars ($2,000,000) per claim and two million dollars ($2,000,000) in the aggregate</w:t>
      </w:r>
      <w:r>
        <w:t xml:space="preserve">;</w:t>
      </w:r>
    </w:p>
    <w:p>
      <w:pPr>
        <w:numPr>
          <w:ilvl w:val="0"/>
          <w:numId w:val="1002"/>
        </w:numPr>
      </w:pPr>
      <w:r>
        <w:t xml:space="preserve">Cyber liability, including network security, privacy liability, and breach-response costs: five million dollars ($5,000,000) per claim and in the aggregate;</w:t>
      </w:r>
    </w:p>
    <w:p>
      <w:pPr>
        <w:numPr>
          <w:ilvl w:val="0"/>
          <w:numId w:val="1002"/>
        </w:numPr>
      </w:pPr>
      <w:r>
        <w:t xml:space="preserve">Workers’ compensation at statutory limits and employer’s liability of one million dollars ($1,000,000); and</w:t>
      </w:r>
    </w:p>
    <w:p>
      <w:pPr>
        <w:numPr>
          <w:ilvl w:val="0"/>
          <w:numId w:val="1002"/>
        </w:numPr>
      </w:pPr>
      <w:r>
        <w:t xml:space="preserve">Umbrella or excess liability of five million dollars ($5,000,000), which may be used to satisfy the limits in clauses (a) and (d).</w:t>
      </w:r>
    </w:p>
    <w:p>
      <w:pPr>
        <w:pStyle w:val="FirstParagraph"/>
      </w:pPr>
      <w:r>
        <w:rPr>
          <w:b/>
          <w:bCs/>
        </w:rPr>
        <w:t xml:space="preserve">11.2 Certificates and Notice.</w:t>
      </w:r>
      <w:r>
        <w:t xml:space="preserve"> </w:t>
      </w:r>
      <w:r>
        <w:t xml:space="preserve">Provider will furnish certificates of insurance evidencing the coverage required by Section 11.1 within ten (10) Business Days after the Effective Date, on each renewal of the applicable policies, and at Customer’s request no more than twice per calendar year. Provider will give Customer at least thirty (30) days’ prior written notice of cancellation or material reduction of any required coverage.</w:t>
      </w:r>
    </w:p>
    <w:p>
      <w:pPr>
        <w:pStyle w:val="BodyText"/>
      </w:pPr>
      <w:r>
        <w:rPr>
          <w:b/>
          <w:bCs/>
        </w:rPr>
        <w:t xml:space="preserve">11.3 No Limitation.</w:t>
      </w:r>
      <w:r>
        <w:t xml:space="preserve"> </w:t>
      </w:r>
      <w:r>
        <w:t xml:space="preserve">The insurance required by this Section 11 does not limit Provider’s liability under this Agreement, and Provider’s liability is not limited to the amount or scope of any insurance recovery.</w:t>
      </w:r>
    </w:p>
    <w:bookmarkEnd w:id="20"/>
    <w:bookmarkStart w:id="21" w:name="intellectual-property"/>
    <w:p>
      <w:pPr>
        <w:pStyle w:val="Heading2"/>
      </w:pPr>
      <w:r>
        <w:rPr>
          <w:rStyle w:val="SectionNumber"/>
        </w:rPr>
        <w:t xml:space="preserve">1.13</w:t>
      </w:r>
      <w:r>
        <w:tab/>
      </w:r>
      <w:r>
        <w:t xml:space="preserve">12. Intellectual Property</w:t>
      </w:r>
    </w:p>
    <w:p>
      <w:pPr>
        <w:pStyle w:val="FirstParagraph"/>
      </w:pPr>
      <w:r>
        <w:rPr>
          <w:b/>
          <w:bCs/>
        </w:rPr>
        <w:t xml:space="preserve">12.1 Provider Technology.</w:t>
      </w:r>
      <w:r>
        <w:t xml:space="preserve"> </w:t>
      </w:r>
      <w:r>
        <w:t xml:space="preserve">Provider retains all right, title, and interest in and to the Platform, the Documentation, and all software, methodologies, know-how, templates, and tools used or developed by Provider in performing, together with all Intellectual Property Rights in them (collectively,</w:t>
      </w:r>
      <w:r>
        <w:t xml:space="preserve"> </w:t>
      </w:r>
      <w:r>
        <w:t xml:space="preserve">“</w:t>
      </w:r>
      <w:r>
        <w:rPr>
          <w:b/>
          <w:bCs/>
        </w:rPr>
        <w:t xml:space="preserve">Provider Technology</w:t>
      </w:r>
      <w:r>
        <w:t xml:space="preserve">”</w:t>
      </w:r>
      <w:r>
        <w:t xml:space="preserve">). No rights are granted to Customer other than those expressly stated in this Agreement.</w:t>
      </w:r>
    </w:p>
    <w:p>
      <w:pPr>
        <w:pStyle w:val="BodyText"/>
      </w:pPr>
      <w:r>
        <w:rPr>
          <w:b/>
          <w:bCs/>
        </w:rPr>
        <w:t xml:space="preserve">12.2 Customer Data.</w:t>
      </w:r>
      <w:r>
        <w:t xml:space="preserve"> </w:t>
      </w:r>
      <w:r>
        <w:t xml:space="preserve">Customer retains all right, title, and interest in and to Customer Data and all Intellectual Property Rights in it. Customer grants Provider a non-exclusive, worldwide, royalty-free license during the Term to host, copy, transmit, display, and process Customer Data solely as necessary to provide the Subscription Services and Professional Services and to comply with Applicable Law.</w:t>
      </w:r>
    </w:p>
    <w:p>
      <w:pPr>
        <w:pStyle w:val="BodyText"/>
      </w:pPr>
      <w:r>
        <w:rPr>
          <w:b/>
          <w:bCs/>
        </w:rPr>
        <w:t xml:space="preserve">12.3 Custom Deliverables.</w:t>
      </w:r>
      <w:r>
        <w:t xml:space="preserve"> </w:t>
      </w:r>
      <w:r>
        <w:t xml:space="preserve">Configurations, reports, workflows, and other work product created specifically for Customer under a Statement of Work and identified in that Statement of Work as a custom deliverable are assigned to Customer on payment in full for that deliverable, excluding any Provider Technology embedded in it. Provider grants Customer a perpetual, non-exclusive, royalty-free license to use that embedded Provider Technology solely as incorporated in the custom deliverable and solely for Customer’s internal business purposes.</w:t>
      </w:r>
    </w:p>
    <w:p>
      <w:pPr>
        <w:pStyle w:val="BodyText"/>
      </w:pPr>
      <w:r>
        <w:rPr>
          <w:b/>
          <w:bCs/>
        </w:rPr>
        <w:t xml:space="preserve">12.4 Feedback.</w:t>
      </w:r>
      <w:r>
        <w:t xml:space="preserve"> </w:t>
      </w:r>
      <w:r>
        <w:t xml:space="preserve">If Customer provides suggestions, enhancement requests, or other feedback about the Platform, Provider may use that feedback without restriction or obligation, provided that Provider does not identify Customer as its source without Customer’s written consent.</w:t>
      </w:r>
    </w:p>
    <w:bookmarkEnd w:id="21"/>
    <w:bookmarkStart w:id="22" w:name="X57ab51490ed4b1a40de74c77d352680fdbe7002"/>
    <w:p>
      <w:pPr>
        <w:pStyle w:val="Heading2"/>
      </w:pPr>
      <w:r>
        <w:rPr>
          <w:rStyle w:val="SectionNumber"/>
        </w:rPr>
        <w:t xml:space="preserve">1.14</w:t>
      </w:r>
      <w:r>
        <w:tab/>
      </w:r>
      <w:r>
        <w:t xml:space="preserve">13. Representations, Warranties, and Disclaimer</w:t>
      </w:r>
    </w:p>
    <w:p>
      <w:pPr>
        <w:pStyle w:val="FirstParagraph"/>
      </w:pPr>
      <w:r>
        <w:rPr>
          <w:b/>
          <w:bCs/>
        </w:rPr>
        <w:t xml:space="preserve">13.1 Mutual Warranties.</w:t>
      </w:r>
      <w:r>
        <w:t xml:space="preserve"> </w:t>
      </w:r>
      <w:r>
        <w:t xml:space="preserve">Each Party represents and warrants that (a) it is duly organized, validly existing, and in good standing under the laws of its jurisdiction of organization; (b) it has full corporate power and authority to enter into and perform this Agreement; and (c) this Agreement is executed by its duly authorized representative and constitutes its legal, valid, and binding obligation.</w:t>
      </w:r>
    </w:p>
    <w:p>
      <w:pPr>
        <w:pStyle w:val="BodyText"/>
      </w:pPr>
      <w:r>
        <w:rPr>
          <w:b/>
          <w:bCs/>
        </w:rPr>
        <w:t xml:space="preserve">13.2 Provider Warranties.</w:t>
      </w:r>
      <w:r>
        <w:t xml:space="preserve"> </w:t>
      </w:r>
      <w:r>
        <w:t xml:space="preserve">Provider represents and warrants that (a) the Subscription Services will perform materially in accordance with the Documentation during the Subscription Term; (b) Professional Services will be performed in a professional and workmanlike manner by qualified personnel in accordance with generally accepted industry standards and the applicable Statement of Work; (c) it will not knowingly introduce into the Platform any virus, worm, back door, or other malicious code; (d) it has not included in the Platform any Open Source Software under a license that would require the disclosure, licensing, or distribution of Customer Data or Customer’s own software; and (e) it holds all rights necessary to grant the rights it grants under this Agreement.</w:t>
      </w:r>
    </w:p>
    <w:p>
      <w:pPr>
        <w:pStyle w:val="BodyText"/>
      </w:pPr>
      <w:r>
        <w:rPr>
          <w:b/>
          <w:bCs/>
        </w:rPr>
        <w:t xml:space="preserve">13.3 Remedy for Warranty Breach.</w:t>
      </w:r>
      <w:r>
        <w:t xml:space="preserve"> </w:t>
      </w:r>
      <w:r>
        <w:t xml:space="preserve">For a breach of Section 13.2(b), Customer’s exclusive remedy, and Provider’s entire liability, is for Provider to re-perform the deficient Professional Services at no additional charge, provided Customer notifies Provider in writing within sixty (60) days after the deficient performance; if Provider is unable to re-perform in a manner that conforms to the applicable Statement of Work, Customer may terminate the affected Statement of Work and receive a refund of fees paid for the deficient Professional Services.</w:t>
      </w:r>
    </w:p>
    <w:p>
      <w:pPr>
        <w:pStyle w:val="BodyText"/>
      </w:pPr>
      <w:r>
        <w:rPr>
          <w:b/>
          <w:bCs/>
        </w:rPr>
        <w:t xml:space="preserve">13.4 Disclaimer.</w:t>
      </w:r>
      <w:r>
        <w:t xml:space="preserve"> </w:t>
      </w:r>
      <w:r>
        <w:t xml:space="preserve">EXCEPT AS EXPRESSLY SET OUT IN THIS SECTION 13, EACH PARTY DISCLAIMS ALL WARRANTIES, WHETHER EXPRESS, IMPLIED, STATUTORY, OR OTHERWISE, INCLUDING ANY IMPLIED WARRANTIES OF MERCHANTABILITY, FITNESS FOR A PARTICULAR PURPOSE, TITLE, AND NON-INFRINGEMENT. PROVIDER DOES NOT WARRANT THAT THE PLATFORM WILL BE UNINTERRUPTED OR ERROR-FREE.</w:t>
      </w:r>
    </w:p>
    <w:bookmarkEnd w:id="22"/>
    <w:bookmarkStart w:id="23" w:name="compliance-with-laws"/>
    <w:p>
      <w:pPr>
        <w:pStyle w:val="Heading2"/>
      </w:pPr>
      <w:r>
        <w:rPr>
          <w:rStyle w:val="SectionNumber"/>
        </w:rPr>
        <w:t xml:space="preserve">1.15</w:t>
      </w:r>
      <w:r>
        <w:tab/>
      </w:r>
      <w:r>
        <w:t xml:space="preserve">14. Compliance with Laws</w:t>
      </w:r>
    </w:p>
    <w:p>
      <w:pPr>
        <w:pStyle w:val="FirstParagraph"/>
      </w:pPr>
      <w:r>
        <w:rPr>
          <w:b/>
          <w:bCs/>
        </w:rPr>
        <w:t xml:space="preserve">14.1 General Compliance.</w:t>
      </w:r>
      <w:r>
        <w:t xml:space="preserve"> </w:t>
      </w:r>
      <w:r>
        <w:t xml:space="preserve">Each Party will comply with all Applicable Laws in performing its obligations under this Agreement.</w:t>
      </w:r>
    </w:p>
    <w:p>
      <w:pPr>
        <w:pStyle w:val="BodyText"/>
      </w:pPr>
      <w:r>
        <w:rPr>
          <w:b/>
          <w:bCs/>
        </w:rPr>
        <w:t xml:space="preserve">14.2 Anti-Corruption.</w:t>
      </w:r>
      <w:r>
        <w:t xml:space="preserve"> </w:t>
      </w:r>
      <w:r>
        <w:t xml:space="preserve">Neither Party has offered or will offer any employee or agent of the other Party any gift, payment, or other consideration to influence the award or performance of this Agreement. Each Party will comply with the U.S. Foreign Corrupt Practices Act and all other applicable anti-bribery laws.</w:t>
      </w:r>
    </w:p>
    <w:p>
      <w:pPr>
        <w:pStyle w:val="BodyText"/>
      </w:pPr>
      <w:r>
        <w:rPr>
          <w:b/>
          <w:bCs/>
        </w:rPr>
        <w:t xml:space="preserve">14.3 Export and Sanctions.</w:t>
      </w:r>
      <w:r>
        <w:t xml:space="preserve"> </w:t>
      </w:r>
      <w:r>
        <w:t xml:space="preserve">Each Party will comply with U.S. export control and economic sanctions laws. Customer will not access or use the Platform from, and will not permit any Authorized User located in, any country or region subject to comprehensive U.S. sanctions, and will not permit access by any person on a U.S. government restricted-party list.</w:t>
      </w:r>
    </w:p>
    <w:p>
      <w:pPr>
        <w:pStyle w:val="BodyText"/>
      </w:pPr>
      <w:r>
        <w:rPr>
          <w:b/>
          <w:bCs/>
        </w:rPr>
        <w:t xml:space="preserve">14.4 Modern Slavery and Labor.</w:t>
      </w:r>
      <w:r>
        <w:t xml:space="preserve"> </w:t>
      </w:r>
      <w:r>
        <w:t xml:space="preserve">Provider represents that it does not use forced labor, child labor, or human trafficking in its operations or supply chain, and will notify Customer promptly if it becomes aware of any credible allegation to the contrary affecting the services provided under this Agreement.</w:t>
      </w:r>
    </w:p>
    <w:bookmarkEnd w:id="23"/>
    <w:bookmarkStart w:id="24" w:name="X152b6661f618f9898ffced4c64685ab77a64f8a"/>
    <w:p>
      <w:pPr>
        <w:pStyle w:val="Heading2"/>
      </w:pPr>
      <w:r>
        <w:rPr>
          <w:rStyle w:val="SectionNumber"/>
        </w:rPr>
        <w:t xml:space="preserve">1.16</w:t>
      </w:r>
      <w:r>
        <w:tab/>
      </w:r>
      <w:r>
        <w:t xml:space="preserve">15. Personnel, Subcontractors, and Non-Solicitation</w:t>
      </w:r>
    </w:p>
    <w:p>
      <w:pPr>
        <w:pStyle w:val="FirstParagraph"/>
      </w:pPr>
      <w:r>
        <w:rPr>
          <w:b/>
          <w:bCs/>
        </w:rPr>
        <w:t xml:space="preserve">15.1 Key Personnel.</w:t>
      </w:r>
      <w:r>
        <w:t xml:space="preserve"> </w:t>
      </w:r>
      <w:r>
        <w:t xml:space="preserve">The Provider personnel identified as key personnel in a Statement of Work will not be replaced without Customer’s prior written consent, not to be unreasonably withheld, except in the case of death, disability, resignation, or termination of employment. Provider will give Customer at least fourteen (14) days’ prior written notice of any proposed substitution of key personnel and will propose a replacement of comparable skill and experience.</w:t>
      </w:r>
    </w:p>
    <w:p>
      <w:pPr>
        <w:pStyle w:val="BodyText"/>
      </w:pPr>
      <w:r>
        <w:rPr>
          <w:b/>
          <w:bCs/>
        </w:rPr>
        <w:t xml:space="preserve">15.2 Subcontractors.</w:t>
      </w:r>
      <w:r>
        <w:t xml:space="preserve"> </w:t>
      </w:r>
      <w:r>
        <w:t xml:space="preserve">Provider may engage subcontractors to perform Professional Services with Customer’s prior written consent, not to be unreasonably withheld. Provider remains responsible for the performance of its subcontractors and for their compliance with this Agreement, including Sections 9 and 10.</w:t>
      </w:r>
    </w:p>
    <w:p>
      <w:pPr>
        <w:pStyle w:val="BodyText"/>
      </w:pPr>
      <w:r>
        <w:rPr>
          <w:b/>
          <w:bCs/>
        </w:rPr>
        <w:t xml:space="preserve">15.3 Site Rules.</w:t>
      </w:r>
      <w:r>
        <w:t xml:space="preserve"> </w:t>
      </w:r>
      <w:r>
        <w:t xml:space="preserve">Provider personnel working at Customer premises or accessing Customer systems will comply with Customer’s reasonable security, safety, and acceptable-use policies made available to Provider in advance.</w:t>
      </w:r>
    </w:p>
    <w:p>
      <w:pPr>
        <w:pStyle w:val="BodyText"/>
      </w:pPr>
      <w:r>
        <w:rPr>
          <w:b/>
          <w:bCs/>
        </w:rPr>
        <w:t xml:space="preserve">15.4 Non-Solicitation.</w:t>
      </w:r>
      <w:r>
        <w:t xml:space="preserve"> </w:t>
      </w:r>
      <w:r>
        <w:t xml:space="preserve">During the Term and for twelve (12) months thereafter, neither Party will knowingly solicit for employment any employee of the other Party who was directly involved in the performance of this Agreement, except that this Section 15.4 does not restrict (a) general advertisements or recruiting campaigns not targeted at those employees, (b) responses to unsolicited applications, or (c) hiring any individual whose employment with the other Party ended at least six (6) months earlier.</w:t>
      </w:r>
    </w:p>
    <w:bookmarkEnd w:id="24"/>
    <w:bookmarkStart w:id="25" w:name="audit-and-records"/>
    <w:p>
      <w:pPr>
        <w:pStyle w:val="Heading2"/>
      </w:pPr>
      <w:r>
        <w:rPr>
          <w:rStyle w:val="SectionNumber"/>
        </w:rPr>
        <w:t xml:space="preserve">1.17</w:t>
      </w:r>
      <w:r>
        <w:tab/>
      </w:r>
      <w:r>
        <w:t xml:space="preserve">16. Audit and Records</w:t>
      </w:r>
    </w:p>
    <w:p>
      <w:pPr>
        <w:pStyle w:val="FirstParagraph"/>
      </w:pPr>
      <w:r>
        <w:rPr>
          <w:b/>
          <w:bCs/>
        </w:rPr>
        <w:t xml:space="preserve">16.1 Records.</w:t>
      </w:r>
      <w:r>
        <w:t xml:space="preserve"> </w:t>
      </w:r>
      <w:r>
        <w:t xml:space="preserve">Provider will maintain complete and accurate records relating to Fees, Professional Services performed, and its compliance with Sections 9, 10, 11, and 14 for three (3) years after the applicable period.</w:t>
      </w:r>
    </w:p>
    <w:p>
      <w:pPr>
        <w:pStyle w:val="BodyText"/>
      </w:pPr>
      <w:r>
        <w:rPr>
          <w:b/>
          <w:bCs/>
        </w:rPr>
        <w:t xml:space="preserve">16.2 Audit Rights.</w:t>
      </w:r>
      <w:r>
        <w:t xml:space="preserve"> </w:t>
      </w:r>
      <w:r>
        <w:t xml:space="preserve">No more than once per calendar year, and on at least thirty (30) days’ prior written notice, Customer or its independent auditor (who must not be a competitor of Provider and must sign a reasonable confidentiality undertaking) may audit those records during normal business hours to verify Provider’s compliance. Audits will be conducted so as to minimize disruption to Provider’s business.</w:t>
      </w:r>
    </w:p>
    <w:p>
      <w:pPr>
        <w:pStyle w:val="BodyText"/>
      </w:pPr>
      <w:r>
        <w:rPr>
          <w:b/>
          <w:bCs/>
        </w:rPr>
        <w:t xml:space="preserve">16.3 Audit Findings.</w:t>
      </w:r>
      <w:r>
        <w:t xml:space="preserve"> </w:t>
      </w:r>
      <w:r>
        <w:t xml:space="preserve">If an audit reveals an overcharge, Provider will credit the overcharged amount within thirty (30) days. If an audit reveals an overcharge of more than five percent (5%) of the amounts invoiced during the audited period, Provider will also reimburse Customer’s reasonable costs of the audit.</w:t>
      </w:r>
    </w:p>
    <w:p>
      <w:pPr>
        <w:pStyle w:val="BodyText"/>
      </w:pPr>
      <w:r>
        <w:rPr>
          <w:b/>
          <w:bCs/>
        </w:rPr>
        <w:t xml:space="preserve">16.4 Regulatory Requests.</w:t>
      </w:r>
      <w:r>
        <w:t xml:space="preserve"> </w:t>
      </w:r>
      <w:r>
        <w:t xml:space="preserve">Provider will cooperate reasonably with Customer’s response to any regulator’s inquiry relating to the Subscription Services, at Customer’s expense unless the inquiry arises from Provider’s breach.</w:t>
      </w:r>
    </w:p>
    <w:bookmarkEnd w:id="25"/>
    <w:bookmarkStart w:id="26" w:name="force-majeure"/>
    <w:p>
      <w:pPr>
        <w:pStyle w:val="Heading2"/>
      </w:pPr>
      <w:r>
        <w:rPr>
          <w:rStyle w:val="SectionNumber"/>
        </w:rPr>
        <w:t xml:space="preserve">1.18</w:t>
      </w:r>
      <w:r>
        <w:tab/>
      </w:r>
      <w:r>
        <w:t xml:space="preserve">17. Force Majeure</w:t>
      </w:r>
    </w:p>
    <w:p>
      <w:pPr>
        <w:pStyle w:val="FirstParagraph"/>
      </w:pPr>
      <w:r>
        <w:rPr>
          <w:b/>
          <w:bCs/>
        </w:rPr>
        <w:t xml:space="preserve">17.1 Excused Performance.</w:t>
      </w:r>
      <w:r>
        <w:t xml:space="preserve"> </w:t>
      </w:r>
      <w:r>
        <w:t xml:space="preserve">Neither Party is liable for any delay or failure to perform (other than a failure to pay amounts when due) caused by an event beyond its reasonable control, including acts of God, fire, flood, earthquake, epidemic, war, terrorism, civil unrest, government action, national labor dispute, or failure of a public telecommunications network (a</w:t>
      </w:r>
      <w:r>
        <w:t xml:space="preserve"> </w:t>
      </w:r>
      <w:r>
        <w:t xml:space="preserve">“</w:t>
      </w:r>
      <w:r>
        <w:rPr>
          <w:b/>
          <w:bCs/>
        </w:rPr>
        <w:t xml:space="preserve">Force Majeure Event</w:t>
      </w:r>
      <w:r>
        <w:t xml:space="preserve">”</w:t>
      </w:r>
      <w:r>
        <w:t xml:space="preserve">). The affected Party will notify the other promptly, will use commercially reasonable efforts to resume performance, and will implement its business continuity and disaster recovery plan described in Exhibit D.</w:t>
      </w:r>
    </w:p>
    <w:p>
      <w:pPr>
        <w:pStyle w:val="BodyText"/>
      </w:pPr>
      <w:r>
        <w:rPr>
          <w:b/>
          <w:bCs/>
        </w:rPr>
        <w:t xml:space="preserve">17.2 Extended Events.</w:t>
      </w:r>
      <w:r>
        <w:t xml:space="preserve"> </w:t>
      </w:r>
      <w:r>
        <w:t xml:space="preserve">If a Force Majeure Event prevents a Party from performing a material obligation for more than thirty (30) consecutive days, the other Party may terminate this Agreement or the affected Statement of Work on written notice, and Provider will refund any prepaid Fees for services not performed.</w:t>
      </w:r>
    </w:p>
    <w:bookmarkEnd w:id="26"/>
    <w:bookmarkStart w:id="27" w:name="notices"/>
    <w:p>
      <w:pPr>
        <w:pStyle w:val="Heading2"/>
      </w:pPr>
      <w:r>
        <w:rPr>
          <w:rStyle w:val="SectionNumber"/>
        </w:rPr>
        <w:t xml:space="preserve">1.19</w:t>
      </w:r>
      <w:r>
        <w:tab/>
      </w:r>
      <w:r>
        <w:t xml:space="preserve">18. Notices</w:t>
      </w:r>
    </w:p>
    <w:p>
      <w:pPr>
        <w:pStyle w:val="FirstParagraph"/>
      </w:pPr>
      <w:r>
        <w:rPr>
          <w:b/>
          <w:bCs/>
        </w:rPr>
        <w:t xml:space="preserve">18.1 Form and Delivery.</w:t>
      </w:r>
      <w:r>
        <w:t xml:space="preserve"> </w:t>
      </w:r>
      <w:r>
        <w:t xml:space="preserve">All notices under this Agreement must be in writing and are effective (a) on personal delivery, (b) one (1) Business Day after deposit with a nationally recognized overnight courier with tracking, (c) three (3) Business Days after deposit in the U.S. mail, certified or registered, return receipt requested, or (d) on the Business Day sent by email, provided that a copy is dispatched the same day by one of the methods in clauses (a) through (c). Notices of breach, indemnifiable claims, and termination may not be given by email alone.</w:t>
      </w:r>
    </w:p>
    <w:p>
      <w:pPr>
        <w:pStyle w:val="BodyText"/>
      </w:pPr>
      <w:r>
        <w:rPr>
          <w:b/>
          <w:bCs/>
        </w:rPr>
        <w:t xml:space="preserve">18.2 Addresses.</w:t>
      </w:r>
      <w:r>
        <w:t xml:space="preserve"> </w:t>
      </w:r>
      <w:r>
        <w:t xml:space="preserve">Notices must be sent to:</w:t>
      </w:r>
    </w:p>
    <w:p>
      <w:pPr>
        <w:pStyle w:val="BodyText"/>
      </w:pPr>
      <w:r>
        <w:rPr>
          <w:b/>
          <w:bCs/>
        </w:rPr>
        <w:t xml:space="preserve">If to Customer:</w:t>
      </w:r>
      <w:r>
        <w:t xml:space="preserve"> </w:t>
      </w:r>
      <w:r>
        <w:t xml:space="preserve">Atticus Dundee Inc.</w:t>
      </w:r>
      <w:r>
        <w:t xml:space="preserve"> </w:t>
      </w:r>
      <w:r>
        <w:t xml:space="preserve">1450 Halverson Quay, Suite 600</w:t>
      </w:r>
      <w:r>
        <w:t xml:space="preserve"> </w:t>
      </w:r>
      <w:r>
        <w:t xml:space="preserve">Wilmington, Delaware 19801</w:t>
      </w:r>
      <w:r>
        <w:t xml:space="preserve"> </w:t>
      </w:r>
      <w:r>
        <w:t xml:space="preserve">Attention: General Counsel</w:t>
      </w:r>
      <w:r>
        <w:t xml:space="preserve"> </w:t>
      </w:r>
      <w:r>
        <w:t xml:space="preserve">Email: legalnotices@atticusdundee.example</w:t>
      </w:r>
    </w:p>
    <w:p>
      <w:pPr>
        <w:pStyle w:val="BodyText"/>
      </w:pPr>
      <w:r>
        <w:t xml:space="preserve">with a copy (which does not constitute notice) to:</w:t>
      </w:r>
      <w:r>
        <w:t xml:space="preserve"> </w:t>
      </w:r>
      <w:r>
        <w:t xml:space="preserve">Attention: Vice President, Procurement and Vendor Management</w:t>
      </w:r>
      <w:r>
        <w:t xml:space="preserve"> </w:t>
      </w:r>
      <w:r>
        <w:t xml:space="preserve">Email: procurement@atticusdundee.example</w:t>
      </w:r>
    </w:p>
    <w:p>
      <w:pPr>
        <w:pStyle w:val="BodyText"/>
      </w:pPr>
      <w:r>
        <w:rPr>
          <w:b/>
          <w:bCs/>
        </w:rPr>
        <w:t xml:space="preserve">If to Provider:</w:t>
      </w:r>
      <w:r>
        <w:t xml:space="preserve"> </w:t>
      </w:r>
      <w:r>
        <w:t xml:space="preserve">Copperline Software, Inc.</w:t>
      </w:r>
      <w:r>
        <w:t xml:space="preserve"> </w:t>
      </w:r>
      <w:r>
        <w:t xml:space="preserve">45 Tamarind Loop, Suite 210</w:t>
      </w:r>
      <w:r>
        <w:t xml:space="preserve"> </w:t>
      </w:r>
      <w:r>
        <w:t xml:space="preserve">Denver, Colorado 80202</w:t>
      </w:r>
      <w:r>
        <w:t xml:space="preserve"> </w:t>
      </w:r>
      <w:r>
        <w:t xml:space="preserve">Attention: General Counsel</w:t>
      </w:r>
      <w:r>
        <w:t xml:space="preserve"> </w:t>
      </w:r>
      <w:r>
        <w:t xml:space="preserve">Email: legal@copperlinesoftware.example</w:t>
      </w:r>
    </w:p>
    <w:p>
      <w:pPr>
        <w:pStyle w:val="BodyText"/>
      </w:pPr>
      <w:r>
        <w:t xml:space="preserve">with a copy (which does not constitute notice) to:</w:t>
      </w:r>
      <w:r>
        <w:t xml:space="preserve"> </w:t>
      </w:r>
      <w:r>
        <w:t xml:space="preserve">Attention: Senior Vice President, Professional Services</w:t>
      </w:r>
      <w:r>
        <w:t xml:space="preserve"> </w:t>
      </w:r>
      <w:r>
        <w:t xml:space="preserve">Email: services@copperlinesoftware.example</w:t>
      </w:r>
    </w:p>
    <w:p>
      <w:pPr>
        <w:pStyle w:val="BodyText"/>
      </w:pPr>
      <w:r>
        <w:rPr>
          <w:b/>
          <w:bCs/>
        </w:rPr>
        <w:t xml:space="preserve">18.3 Change of Address.</w:t>
      </w:r>
      <w:r>
        <w:t xml:space="preserve"> </w:t>
      </w:r>
      <w:r>
        <w:t xml:space="preserve">Either Party may change its notice address by giving notice in accordance with this Section 18.</w:t>
      </w:r>
    </w:p>
    <w:bookmarkEnd w:id="27"/>
    <w:bookmarkStart w:id="28" w:name="governing-law-and-dispute-resolution"/>
    <w:p>
      <w:pPr>
        <w:pStyle w:val="Heading2"/>
      </w:pPr>
      <w:r>
        <w:rPr>
          <w:rStyle w:val="SectionNumber"/>
        </w:rPr>
        <w:t xml:space="preserve">1.20</w:t>
      </w:r>
      <w:r>
        <w:tab/>
      </w:r>
      <w:r>
        <w:t xml:space="preserve">19. Governing Law and Dispute Resolution</w:t>
      </w:r>
    </w:p>
    <w:p>
      <w:pPr>
        <w:pStyle w:val="FirstParagraph"/>
      </w:pPr>
      <w:r>
        <w:rPr>
          <w:b/>
          <w:bCs/>
        </w:rPr>
        <w:t xml:space="preserve">19.1 Governing Law.</w:t>
      </w:r>
      <w:r>
        <w:t xml:space="preserve"> </w:t>
      </w:r>
      <w:r>
        <w:t xml:space="preserve">This Agreement, and any dispute or claim arising out of or in connection with it or its subject matter or formation (including non-contractual disputes or claims), is governed by and construed in accordance with the laws of the State of Delaware, without regard to its conflict-of-laws principles. The United Nations Convention on Contracts for the International Sale of Goods does not apply.</w:t>
      </w:r>
    </w:p>
    <w:p>
      <w:pPr>
        <w:pStyle w:val="BodyText"/>
      </w:pPr>
      <w:r>
        <w:rPr>
          <w:b/>
          <w:bCs/>
        </w:rPr>
        <w:t xml:space="preserve">19.2 Escalation.</w:t>
      </w:r>
      <w:r>
        <w:t xml:space="preserve"> </w:t>
      </w:r>
      <w:r>
        <w:t xml:space="preserve">Before commencing litigation (other than an action seeking injunctive relief), the Parties will escalate the dispute to a senior executive of each Party who is not directly involved in the day-to-day relationship. Those executives will confer in good faith within fifteen (15) Business Days after a written escalation notice and will attempt to resolve the dispute within thirty (30) days after that notice.</w:t>
      </w:r>
    </w:p>
    <w:p>
      <w:pPr>
        <w:pStyle w:val="BodyText"/>
      </w:pPr>
      <w:r>
        <w:rPr>
          <w:b/>
          <w:bCs/>
        </w:rPr>
        <w:t xml:space="preserve">19.3 Venue.</w:t>
      </w:r>
      <w:r>
        <w:t xml:space="preserve"> </w:t>
      </w:r>
      <w:r>
        <w:t xml:space="preserve">Each Party irrevocably submits to the exclusive jurisdiction of the state and federal courts located in New Castle County, Delaware, and waives any objection based on forum non conveniens.</w:t>
      </w:r>
    </w:p>
    <w:p>
      <w:pPr>
        <w:pStyle w:val="BodyText"/>
      </w:pPr>
      <w:r>
        <w:rPr>
          <w:b/>
          <w:bCs/>
        </w:rPr>
        <w:t xml:space="preserve">19.4 Jury Waiver.</w:t>
      </w:r>
      <w:r>
        <w:t xml:space="preserve"> </w:t>
      </w:r>
      <w:r>
        <w:t xml:space="preserve">EACH PARTY IRREVOCABLY WAIVES ANY RIGHT TO TRIAL BY JURY IN ANY ACTION ARISING OUT OF OR RELATING TO THIS AGREEMENT.</w:t>
      </w:r>
    </w:p>
    <w:p>
      <w:pPr>
        <w:pStyle w:val="BodyText"/>
      </w:pPr>
      <w:r>
        <w:rPr>
          <w:b/>
          <w:bCs/>
        </w:rPr>
        <w:t xml:space="preserve">19.5 Injunctive Relief.</w:t>
      </w:r>
      <w:r>
        <w:t xml:space="preserve"> </w:t>
      </w:r>
      <w:r>
        <w:t xml:space="preserve">Nothing in this Section 19 prevents either Party from seeking injunctive or other equitable relief in any court of competent jurisdiction to protect its Confidential Information or Intellectual Property Rights.</w:t>
      </w:r>
    </w:p>
    <w:bookmarkEnd w:id="28"/>
    <w:bookmarkStart w:id="29" w:name="general-provisions"/>
    <w:p>
      <w:pPr>
        <w:pStyle w:val="Heading2"/>
      </w:pPr>
      <w:r>
        <w:rPr>
          <w:rStyle w:val="SectionNumber"/>
        </w:rPr>
        <w:t xml:space="preserve">1.21</w:t>
      </w:r>
      <w:r>
        <w:tab/>
      </w:r>
      <w:r>
        <w:t xml:space="preserve">20. General Provisions</w:t>
      </w:r>
    </w:p>
    <w:p>
      <w:pPr>
        <w:pStyle w:val="FirstParagraph"/>
      </w:pPr>
      <w:r>
        <w:rPr>
          <w:b/>
          <w:bCs/>
        </w:rPr>
        <w:t xml:space="preserve">20.1 Order of Precedence.</w:t>
      </w:r>
      <w:r>
        <w:t xml:space="preserve"> </w:t>
      </w:r>
      <w:r>
        <w:t xml:space="preserve">In the event of a conflict, the following order of precedence applies: (a) the DPA (Exhibit C) in respect of the processing of Personal Data; (b) the body of this Agreement; (c) Exhibit A (Fees and Payment Schedule); (d) any executed Statement of Work or change order, as to the scope, schedule, and fees of that Statement of Work only; (e) Exhibit B (Implementation Plan and Milestones); (f) Exhibit D (Support and Service Levels); and (g) Exhibit E (Approved Subprocessors). No term of any Customer purchase order or Provider quotation, invoice, or click-through terms has any effect, even if signed or accepted after the Effective Date.</w:t>
      </w:r>
    </w:p>
    <w:p>
      <w:pPr>
        <w:pStyle w:val="BodyText"/>
      </w:pPr>
      <w:r>
        <w:rPr>
          <w:b/>
          <w:bCs/>
        </w:rPr>
        <w:t xml:space="preserve">20.2 Entire Agreement.</w:t>
      </w:r>
      <w:r>
        <w:t xml:space="preserve"> </w:t>
      </w:r>
      <w:r>
        <w:t xml:space="preserve">This Agreement, including its Exhibits and all executed Order Forms and Statements of Work, is the entire agreement between the Parties in respect of its subject matter and supersedes all prior proposals, understandings, and agreements, whether written or oral, including the mutual non-disclosure agreement between the Parties dated September 8, 2025, which continues to govern information exchanged before the Effective Date.</w:t>
      </w:r>
    </w:p>
    <w:p>
      <w:pPr>
        <w:pStyle w:val="BodyText"/>
      </w:pPr>
      <w:r>
        <w:rPr>
          <w:b/>
          <w:bCs/>
        </w:rPr>
        <w:t xml:space="preserve">20.3 Amendment and Waiver.</w:t>
      </w:r>
      <w:r>
        <w:t xml:space="preserve"> </w:t>
      </w:r>
      <w:r>
        <w:t xml:space="preserve">No amendment to this Agreement is effective unless in writing and signed by an authorized representative of each Party. No waiver of any provision is effective unless in writing, and no waiver of a breach operates as a waiver of any later breach.</w:t>
      </w:r>
    </w:p>
    <w:p>
      <w:pPr>
        <w:pStyle w:val="BodyText"/>
      </w:pPr>
      <w:r>
        <w:rPr>
          <w:b/>
          <w:bCs/>
        </w:rPr>
        <w:t xml:space="preserve">20.4 Assignment.</w:t>
      </w:r>
      <w:r>
        <w:t xml:space="preserve"> </w:t>
      </w:r>
      <w:r>
        <w:t xml:space="preserve">Neither Party may assign this Agreement without the other Party’s prior written consent, except that either Party may assign it in its entirety, on written notice and without consent, to a successor in connection with a merger, reorganization, or sale of all or substantially all of its assets or equity, provided the assignee is not a competitor of the non-assigning Party and assumes all obligations under this Agreement. Any attempted assignment in violation of this Section 20.4 is void.</w:t>
      </w:r>
    </w:p>
    <w:p>
      <w:pPr>
        <w:pStyle w:val="BodyText"/>
      </w:pPr>
      <w:r>
        <w:rPr>
          <w:b/>
          <w:bCs/>
        </w:rPr>
        <w:t xml:space="preserve">20.5 Independent Contractors.</w:t>
      </w:r>
      <w:r>
        <w:t xml:space="preserve"> </w:t>
      </w:r>
      <w:r>
        <w:t xml:space="preserve">The Parties are independent contractors. Nothing in this Agreement creates a partnership, joint venture, agency, or employment relationship.</w:t>
      </w:r>
    </w:p>
    <w:p>
      <w:pPr>
        <w:pStyle w:val="BodyText"/>
      </w:pPr>
      <w:r>
        <w:rPr>
          <w:b/>
          <w:bCs/>
        </w:rPr>
        <w:t xml:space="preserve">20.6 No Third-Party Beneficiaries.</w:t>
      </w:r>
      <w:r>
        <w:t xml:space="preserve"> </w:t>
      </w:r>
      <w:r>
        <w:t xml:space="preserve">Except for the indemnified parties identified in Section 8, this Agreement does not confer any rights on any person who is not a Party.</w:t>
      </w:r>
    </w:p>
    <w:p>
      <w:pPr>
        <w:pStyle w:val="BodyText"/>
      </w:pPr>
      <w:r>
        <w:rPr>
          <w:b/>
          <w:bCs/>
        </w:rPr>
        <w:t xml:space="preserve">20.7 Publicity.</w:t>
      </w:r>
      <w:r>
        <w:t xml:space="preserve"> </w:t>
      </w:r>
      <w:r>
        <w:t xml:space="preserve">Neither Party will use the other Party’s name, logo, or trademarks in any press release, customer list, case study, or marketing material without the other Party’s prior written consent. Provider may identify Customer as a customer in a confidential list provided to prospective investors or acquirers under obligations of confidentiality.</w:t>
      </w:r>
    </w:p>
    <w:p>
      <w:pPr>
        <w:pStyle w:val="BodyText"/>
      </w:pPr>
      <w:r>
        <w:rPr>
          <w:b/>
          <w:bCs/>
        </w:rPr>
        <w:t xml:space="preserve">20.8 Severability.</w:t>
      </w:r>
      <w:r>
        <w:t xml:space="preserve"> </w:t>
      </w:r>
      <w:r>
        <w:t xml:space="preserve">If any provision of this Agreement is held unenforceable, that provision will be modified to the minimum extent necessary to make it enforceable, and the remaining provisions remain in full force and effect.</w:t>
      </w:r>
    </w:p>
    <w:p>
      <w:pPr>
        <w:pStyle w:val="BodyText"/>
      </w:pPr>
      <w:r>
        <w:rPr>
          <w:b/>
          <w:bCs/>
        </w:rPr>
        <w:t xml:space="preserve">20.9 Counterparts and Electronic Signature.</w:t>
      </w:r>
      <w:r>
        <w:t xml:space="preserve"> </w:t>
      </w:r>
      <w:r>
        <w:t xml:space="preserve">This Agreement may be executed in counterparts, each of which is an original and all of which together constitute one instrument. Signatures delivered by electronic means, including by an electronic signature platform, have the same effect as original signatures.</w:t>
      </w:r>
    </w:p>
    <w:p>
      <w:pPr>
        <w:pStyle w:val="BodyText"/>
      </w:pPr>
      <w:r>
        <w:rPr>
          <w:b/>
          <w:bCs/>
        </w:rPr>
        <w:t xml:space="preserve">20.10 Construction.</w:t>
      </w:r>
      <w:r>
        <w:t xml:space="preserve"> </w:t>
      </w:r>
      <w:r>
        <w:t xml:space="preserve">Section headings are for convenience only and do not affect interpretation.</w:t>
      </w:r>
      <w:r>
        <w:t xml:space="preserve"> </w:t>
      </w:r>
      <w:r>
        <w:t xml:space="preserve">“Including”</w:t>
      </w:r>
      <w:r>
        <w:t xml:space="preserve"> </w:t>
      </w:r>
      <w:r>
        <w:t xml:space="preserve">means</w:t>
      </w:r>
      <w:r>
        <w:t xml:space="preserve"> </w:t>
      </w:r>
      <w:r>
        <w:t xml:space="preserve">“including without limitation.”</w:t>
      </w:r>
      <w:r>
        <w:t xml:space="preserve"> </w:t>
      </w:r>
      <w:r>
        <w:t xml:space="preserve">References to a Section or Exhibit are to a Section of or Exhibit to this Agreement. This Agreement will not be construed against the Party that drafted it.</w:t>
      </w:r>
    </w:p>
    <w:bookmarkEnd w:id="29"/>
    <w:bookmarkStart w:id="30" w:name="definitions"/>
    <w:p>
      <w:pPr>
        <w:pStyle w:val="Heading2"/>
      </w:pPr>
      <w:r>
        <w:rPr>
          <w:rStyle w:val="SectionNumber"/>
        </w:rPr>
        <w:t xml:space="preserve">1.22</w:t>
      </w:r>
      <w:r>
        <w:tab/>
      </w:r>
      <w:r>
        <w:t xml:space="preserve">21. Definitions</w:t>
      </w:r>
    </w:p>
    <w:p>
      <w:pPr>
        <w:pStyle w:val="FirstParagraph"/>
      </w:pPr>
      <w:r>
        <w:rPr>
          <w:b/>
          <w:bCs/>
        </w:rPr>
        <w:t xml:space="preserve">“Affiliate”</w:t>
      </w:r>
      <w:r>
        <w:t xml:space="preserve"> </w:t>
      </w:r>
      <w:r>
        <w:t xml:space="preserve">means any entity that directly or indirectly controls, is controlled by, or is under common control with a Party, where</w:t>
      </w:r>
      <w:r>
        <w:t xml:space="preserve"> </w:t>
      </w:r>
      <w:r>
        <w:t xml:space="preserve">“control”</w:t>
      </w:r>
      <w:r>
        <w:t xml:space="preserve"> </w:t>
      </w:r>
      <w:r>
        <w:t xml:space="preserve">means ownership of more than fifty percent (50%) of the voting interests of that entity.</w:t>
      </w:r>
    </w:p>
    <w:p>
      <w:pPr>
        <w:pStyle w:val="BodyText"/>
      </w:pPr>
      <w:r>
        <w:rPr>
          <w:b/>
          <w:bCs/>
        </w:rPr>
        <w:t xml:space="preserve">“Applicable Law”</w:t>
      </w:r>
      <w:r>
        <w:t xml:space="preserve"> </w:t>
      </w:r>
      <w:r>
        <w:t xml:space="preserve">means all laws, regulations, rules, and binding orders of any governmental authority applicable to a Party’s performance under this Agreement.</w:t>
      </w:r>
    </w:p>
    <w:p>
      <w:pPr>
        <w:pStyle w:val="BodyText"/>
      </w:pPr>
      <w:r>
        <w:rPr>
          <w:b/>
          <w:bCs/>
        </w:rPr>
        <w:t xml:space="preserve">“Authorized User”</w:t>
      </w:r>
      <w:r>
        <w:t xml:space="preserve"> </w:t>
      </w:r>
      <w:r>
        <w:t xml:space="preserve">means an employee, contractor, or agent of Customer or a Customer Affiliate who is authorized by Customer to access the Platform and for whom a subscription seat has been provisioned.</w:t>
      </w:r>
    </w:p>
    <w:p>
      <w:pPr>
        <w:pStyle w:val="BodyText"/>
      </w:pPr>
      <w:r>
        <w:rPr>
          <w:b/>
          <w:bCs/>
        </w:rPr>
        <w:t xml:space="preserve">“Business Day”</w:t>
      </w:r>
      <w:r>
        <w:t xml:space="preserve"> </w:t>
      </w:r>
      <w:r>
        <w:t xml:space="preserve">means any day other than a Saturday, Sunday, or day on which banks in Wilmington, Delaware are authorized or required by law to close.</w:t>
      </w:r>
    </w:p>
    <w:p>
      <w:pPr>
        <w:pStyle w:val="BodyText"/>
      </w:pPr>
      <w:r>
        <w:rPr>
          <w:b/>
          <w:bCs/>
        </w:rPr>
        <w:t xml:space="preserve">“Customer Data”</w:t>
      </w:r>
      <w:r>
        <w:t xml:space="preserve"> </w:t>
      </w:r>
      <w:r>
        <w:t xml:space="preserve">means all data, content, and materials that Customer or any Authorized User submits to, or that is generated for Customer by, the Platform, including Personal Data contained in it.</w:t>
      </w:r>
    </w:p>
    <w:p>
      <w:pPr>
        <w:pStyle w:val="BodyText"/>
      </w:pPr>
      <w:r>
        <w:rPr>
          <w:b/>
          <w:bCs/>
        </w:rPr>
        <w:t xml:space="preserve">“Documentation”</w:t>
      </w:r>
      <w:r>
        <w:t xml:space="preserve"> </w:t>
      </w:r>
      <w:r>
        <w:t xml:space="preserve">means the then-current user and administrator documentation for the Platform made generally available by Provider.</w:t>
      </w:r>
    </w:p>
    <w:p>
      <w:pPr>
        <w:pStyle w:val="BodyText"/>
      </w:pPr>
      <w:r>
        <w:rPr>
          <w:b/>
          <w:bCs/>
        </w:rPr>
        <w:t xml:space="preserve">“Intellectual Property Rights”</w:t>
      </w:r>
      <w:r>
        <w:t xml:space="preserve"> </w:t>
      </w:r>
      <w:r>
        <w:t xml:space="preserve">means all patent, copyright, trademark, trade secret, database, moral, and other intellectual property rights, in each case whether registered or unregistered, worldwide.</w:t>
      </w:r>
    </w:p>
    <w:p>
      <w:pPr>
        <w:pStyle w:val="BodyText"/>
      </w:pPr>
      <w:r>
        <w:rPr>
          <w:b/>
          <w:bCs/>
        </w:rPr>
        <w:t xml:space="preserve">“Losses”</w:t>
      </w:r>
      <w:r>
        <w:t xml:space="preserve"> </w:t>
      </w:r>
      <w:r>
        <w:t xml:space="preserve">means damages, liabilities, fines, penalties, settlements, costs, and expenses, including reasonable attorneys’ fees.</w:t>
      </w:r>
    </w:p>
    <w:p>
      <w:pPr>
        <w:pStyle w:val="BodyText"/>
      </w:pPr>
      <w:r>
        <w:rPr>
          <w:b/>
          <w:bCs/>
        </w:rPr>
        <w:t xml:space="preserve">“Open Source Software”</w:t>
      </w:r>
      <w:r>
        <w:t xml:space="preserve"> </w:t>
      </w:r>
      <w:r>
        <w:t xml:space="preserve">means software licensed under a license approved by the Open Source Initiative or a license with substantially similar terms.</w:t>
      </w:r>
    </w:p>
    <w:p>
      <w:pPr>
        <w:pStyle w:val="BodyText"/>
      </w:pPr>
      <w:r>
        <w:rPr>
          <w:b/>
          <w:bCs/>
        </w:rPr>
        <w:t xml:space="preserve">“Order Form”</w:t>
      </w:r>
      <w:r>
        <w:t xml:space="preserve"> </w:t>
      </w:r>
      <w:r>
        <w:t xml:space="preserve">means an ordering document executed by the Parties that describes the subscription purchased, the number of Authorized Users, the applicable Fees, and the applicable Subscription Term.</w:t>
      </w:r>
    </w:p>
    <w:p>
      <w:pPr>
        <w:pStyle w:val="BodyText"/>
      </w:pPr>
      <w:r>
        <w:rPr>
          <w:b/>
          <w:bCs/>
        </w:rPr>
        <w:t xml:space="preserve">“Personal Data”</w:t>
      </w:r>
      <w:r>
        <w:t xml:space="preserve"> </w:t>
      </w:r>
      <w:r>
        <w:t xml:space="preserve">has the meaning given in the DPA.</w:t>
      </w:r>
    </w:p>
    <w:p>
      <w:pPr>
        <w:pStyle w:val="BodyText"/>
      </w:pPr>
      <w:r>
        <w:rPr>
          <w:b/>
          <w:bCs/>
        </w:rPr>
        <w:t xml:space="preserve">“Platform”</w:t>
      </w:r>
      <w:r>
        <w:t xml:space="preserve"> </w:t>
      </w:r>
      <w:r>
        <w:t xml:space="preserve">means Provider’s hosted software-as-a-service platform identified in Exhibit A, including any modules, updates, and Documentation made available to Customer under this Agreement.</w:t>
      </w:r>
    </w:p>
    <w:p>
      <w:pPr>
        <w:pStyle w:val="BodyText"/>
      </w:pPr>
      <w:r>
        <w:rPr>
          <w:b/>
          <w:bCs/>
        </w:rPr>
        <w:t xml:space="preserve">“Security Incident”</w:t>
      </w:r>
      <w:r>
        <w:t xml:space="preserve"> </w:t>
      </w:r>
      <w:r>
        <w:t xml:space="preserve">means any confirmed unauthorized access to, acquisition of, disclosure of, alteration of, loss of, or destruction of Customer Data in Provider’s or a subprocessor’s possession or control.</w:t>
      </w:r>
    </w:p>
    <w:p>
      <w:pPr>
        <w:pStyle w:val="BodyText"/>
      </w:pPr>
      <w:r>
        <w:rPr>
          <w:b/>
          <w:bCs/>
        </w:rPr>
        <w:t xml:space="preserve">“Statement of Work”</w:t>
      </w:r>
      <w:r>
        <w:t xml:space="preserve"> </w:t>
      </w:r>
      <w:r>
        <w:t xml:space="preserve">or</w:t>
      </w:r>
      <w:r>
        <w:t xml:space="preserve"> </w:t>
      </w:r>
      <w:r>
        <w:rPr>
          <w:b/>
          <w:bCs/>
        </w:rPr>
        <w:t xml:space="preserve">“SOW”</w:t>
      </w:r>
      <w:r>
        <w:t xml:space="preserve"> </w:t>
      </w:r>
      <w:r>
        <w:t xml:space="preserve">means a document executed by the Parties describing Professional Services to be performed under this Agreement.</w:t>
      </w:r>
    </w:p>
    <w:p>
      <w:pPr>
        <w:pStyle w:val="BodyText"/>
      </w:pPr>
      <w:r>
        <w:rPr>
          <w:b/>
          <w:bCs/>
        </w:rPr>
        <w:t xml:space="preserve">“Term”</w:t>
      </w:r>
      <w:r>
        <w:t xml:space="preserve"> </w:t>
      </w:r>
      <w:r>
        <w:t xml:space="preserve">means the term of this Agreement determined under Section 1.1.</w:t>
      </w:r>
    </w:p>
    <w:bookmarkEnd w:id="30"/>
    <w:bookmarkStart w:id="36" w:name="exhibit-a-fees-and-payment-schedule"/>
    <w:p>
      <w:pPr>
        <w:pStyle w:val="Heading2"/>
      </w:pPr>
      <w:r>
        <w:rPr>
          <w:rStyle w:val="SectionNumber"/>
        </w:rPr>
        <w:t xml:space="preserve">1.23</w:t>
      </w:r>
      <w:r>
        <w:tab/>
      </w:r>
      <w:r>
        <w:t xml:space="preserve">Exhibit A — Fees and Payment Schedule</w:t>
      </w:r>
    </w:p>
    <w:bookmarkStart w:id="31" w:name="a.1-subscription"/>
    <w:p>
      <w:pPr>
        <w:pStyle w:val="Heading3"/>
      </w:pPr>
      <w:r>
        <w:rPr>
          <w:rStyle w:val="SectionNumber"/>
        </w:rPr>
        <w:t xml:space="preserve">1.23.1</w:t>
      </w:r>
      <w:r>
        <w:tab/>
      </w:r>
      <w:r>
        <w:t xml:space="preserve">A.1 Subscription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Platform</w:t>
            </w:r>
          </w:p>
        </w:tc>
        <w:tc>
          <w:tcPr/>
          <w:p>
            <w:pPr>
              <w:pStyle w:val="Compact"/>
            </w:pPr>
            <w:r>
              <w:t xml:space="preserve">Copperline Revenue and Contract Operations Platform, Enterprise Edition</w:t>
            </w:r>
          </w:p>
        </w:tc>
      </w:tr>
      <w:tr>
        <w:tc>
          <w:tcPr/>
          <w:p>
            <w:pPr>
              <w:pStyle w:val="Compact"/>
            </w:pPr>
            <w:r>
              <w:t xml:space="preserve">Modules included</w:t>
            </w:r>
          </w:p>
        </w:tc>
        <w:tc>
          <w:tcPr/>
          <w:p>
            <w:pPr>
              <w:pStyle w:val="Compact"/>
            </w:pPr>
            <w:r>
              <w:t xml:space="preserve">Contract Repository, Obligation Tracking, Renewal Management, Reporting and Analytics</w:t>
            </w:r>
          </w:p>
        </w:tc>
      </w:tr>
      <w:tr>
        <w:tc>
          <w:tcPr/>
          <w:p>
            <w:pPr>
              <w:pStyle w:val="Compact"/>
            </w:pPr>
            <w:r>
              <w:t xml:space="preserve">Authorized Users</w:t>
            </w:r>
          </w:p>
        </w:tc>
        <w:tc>
          <w:tcPr/>
          <w:p>
            <w:pPr>
              <w:pStyle w:val="Compact"/>
            </w:pPr>
            <w:r>
              <w:t xml:space="preserve">120 named users</w:t>
            </w:r>
          </w:p>
        </w:tc>
      </w:tr>
      <w:tr>
        <w:tc>
          <w:tcPr/>
          <w:p>
            <w:pPr>
              <w:pStyle w:val="Compact"/>
            </w:pPr>
            <w:r>
              <w:t xml:space="preserve">Usage limits</w:t>
            </w:r>
          </w:p>
        </w:tc>
        <w:tc>
          <w:tcPr/>
          <w:p>
            <w:pPr>
              <w:pStyle w:val="Compact"/>
            </w:pPr>
            <w:r>
              <w:t xml:space="preserve">60,000 documents stored; 400,000 API calls per month; 5 production integrations</w:t>
            </w:r>
          </w:p>
        </w:tc>
      </w:tr>
      <w:tr>
        <w:tc>
          <w:tcPr/>
          <w:p>
            <w:pPr>
              <w:pStyle w:val="Compact"/>
            </w:pPr>
            <w:r>
              <w:t xml:space="preserve">Subscription Start Date</w:t>
            </w:r>
          </w:p>
        </w:tc>
        <w:tc>
          <w:tcPr/>
          <w:p>
            <w:pPr>
              <w:pStyle w:val="Compact"/>
            </w:pPr>
            <w:r>
              <w:t xml:space="preserve">February 1, 2026</w:t>
            </w:r>
          </w:p>
        </w:tc>
      </w:tr>
      <w:tr>
        <w:tc>
          <w:tcPr/>
          <w:p>
            <w:pPr>
              <w:pStyle w:val="Compact"/>
            </w:pPr>
            <w:r>
              <w:t xml:space="preserve">Initial Term</w:t>
            </w:r>
          </w:p>
        </w:tc>
        <w:tc>
          <w:tcPr/>
          <w:p>
            <w:pPr>
              <w:pStyle w:val="Compact"/>
            </w:pPr>
            <w:r>
              <w:t xml:space="preserve">February 1, 2026 through January 31, 2027</w:t>
            </w:r>
          </w:p>
        </w:tc>
      </w:tr>
      <w:tr>
        <w:tc>
          <w:tcPr/>
          <w:p>
            <w:pPr>
              <w:pStyle w:val="Compact"/>
            </w:pPr>
            <w:r>
              <w:rPr>
                <w:b/>
                <w:bCs/>
              </w:rPr>
              <w:t xml:space="preserve">Annual Subscription Fee (Initial Term)</w:t>
            </w:r>
          </w:p>
        </w:tc>
        <w:tc>
          <w:tcPr/>
          <w:p>
            <w:pPr>
              <w:pStyle w:val="Compact"/>
            </w:pPr>
            <w:r>
              <w:rPr>
                <w:b/>
                <w:bCs/>
              </w:rPr>
              <w:t xml:space="preserve">$80,000</w:t>
            </w:r>
          </w:p>
        </w:tc>
      </w:tr>
      <w:tr>
        <w:tc>
          <w:tcPr/>
          <w:p>
            <w:pPr>
              <w:pStyle w:val="Compact"/>
            </w:pPr>
            <w:r>
              <w:t xml:space="preserve">Invoicing</w:t>
            </w:r>
          </w:p>
        </w:tc>
        <w:tc>
          <w:tcPr/>
          <w:p>
            <w:pPr>
              <w:pStyle w:val="Compact"/>
            </w:pPr>
            <w:r>
              <w:t xml:space="preserve">Annually in advance, invoiced on the Subscription Start Date</w:t>
            </w:r>
          </w:p>
        </w:tc>
      </w:tr>
      <w:tr>
        <w:tc>
          <w:tcPr/>
          <w:p>
            <w:pPr>
              <w:pStyle w:val="Compact"/>
            </w:pPr>
            <w:r>
              <w:t xml:space="preserve">Payment terms</w:t>
            </w:r>
          </w:p>
        </w:tc>
        <w:tc>
          <w:tcPr/>
          <w:p>
            <w:pPr>
              <w:pStyle w:val="Compact"/>
            </w:pPr>
            <w:r>
              <w:t xml:space="preserve">Net thirty (30) days from invoice date</w:t>
            </w:r>
          </w:p>
        </w:tc>
      </w:tr>
    </w:tbl>
    <w:p>
      <w:pPr>
        <w:pStyle w:val="BodyText"/>
      </w:pPr>
      <w:r>
        <w:t xml:space="preserve">The Annual Subscription Fee covers the entire twelve (12) month period stated above and is earned ratably across that period in accordance with Section 5.2. Overage above the usage limits stated above is invoiced quarterly in arrears at the rates in Section A.4.</w:t>
      </w:r>
    </w:p>
    <w:bookmarkEnd w:id="31"/>
    <w:bookmarkStart w:id="32" w:name="a.2-professional-services"/>
    <w:p>
      <w:pPr>
        <w:pStyle w:val="Heading3"/>
      </w:pPr>
      <w:r>
        <w:rPr>
          <w:rStyle w:val="SectionNumber"/>
        </w:rPr>
        <w:t xml:space="preserve">1.23.2</w:t>
      </w:r>
      <w:r>
        <w:tab/>
      </w:r>
      <w:r>
        <w:t xml:space="preserve">A.2 Professional Services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Milestone</w:t>
            </w:r>
          </w:p>
        </w:tc>
        <w:tc>
          <w:tcPr/>
          <w:p>
            <w:pPr>
              <w:pStyle w:val="Compact"/>
            </w:pPr>
            <w:r>
              <w:t xml:space="preserve">Deliverable</w:t>
            </w:r>
          </w:p>
        </w:tc>
        <w:tc>
          <w:tcPr/>
          <w:p>
            <w:pPr>
              <w:pStyle w:val="Compact"/>
            </w:pPr>
            <w:r>
              <w:t xml:space="preserve">Fee</w:t>
            </w:r>
          </w:p>
        </w:tc>
        <w:tc>
          <w:tcPr/>
          <w:p>
            <w:pPr>
              <w:pStyle w:val="Compact"/>
            </w:pPr>
            <w:r>
              <w:t xml:space="preserve">Invoice Trigger</w:t>
            </w:r>
          </w:p>
        </w:tc>
      </w:tr>
      <w:tr>
        <w:tc>
          <w:tcPr/>
          <w:p>
            <w:pPr>
              <w:pStyle w:val="Compact"/>
            </w:pPr>
            <w:r>
              <w:t xml:space="preserve">Contract execution</w:t>
            </w:r>
          </w:p>
        </w:tc>
        <w:tc>
          <w:tcPr/>
          <w:p>
            <w:pPr>
              <w:pStyle w:val="Compact"/>
            </w:pPr>
            <w:r>
              <w:t xml:space="preserve">Project mobilization</w:t>
            </w:r>
          </w:p>
        </w:tc>
        <w:tc>
          <w:tcPr/>
          <w:p>
            <w:pPr>
              <w:pStyle w:val="Compact"/>
            </w:pPr>
            <w:r>
              <w:t xml:space="preserve">$3,750</w:t>
            </w:r>
          </w:p>
        </w:tc>
        <w:tc>
          <w:tcPr/>
          <w:p>
            <w:pPr>
              <w:pStyle w:val="Compact"/>
            </w:pPr>
            <w:r>
              <w:t xml:space="preserve">Effective Date</w:t>
            </w:r>
          </w:p>
        </w:tc>
      </w:tr>
      <w:tr>
        <w:tc>
          <w:tcPr/>
          <w:p>
            <w:pPr>
              <w:pStyle w:val="Compact"/>
            </w:pPr>
            <w:r>
              <w:t xml:space="preserve">Milestone 2</w:t>
            </w:r>
          </w:p>
        </w:tc>
        <w:tc>
          <w:tcPr/>
          <w:p>
            <w:pPr>
              <w:pStyle w:val="Compact"/>
            </w:pPr>
            <w:r>
              <w:t xml:space="preserve">Integration Readiness</w:t>
            </w:r>
          </w:p>
        </w:tc>
        <w:tc>
          <w:tcPr/>
          <w:p>
            <w:pPr>
              <w:pStyle w:val="Compact"/>
            </w:pPr>
            <w:r>
              <w:t xml:space="preserve">$3,750</w:t>
            </w:r>
          </w:p>
        </w:tc>
        <w:tc>
          <w:tcPr/>
          <w:p>
            <w:pPr>
              <w:pStyle w:val="Compact"/>
            </w:pPr>
            <w:r>
              <w:t xml:space="preserve">Acceptance Certificate issued under Section 4.2</w:t>
            </w:r>
          </w:p>
        </w:tc>
      </w:tr>
      <w:tr>
        <w:tc>
          <w:tcPr/>
          <w:p>
            <w:pPr>
              <w:pStyle w:val="Compact"/>
            </w:pPr>
            <w:r>
              <w:t xml:space="preserve">Milestone 3</w:t>
            </w:r>
          </w:p>
        </w:tc>
        <w:tc>
          <w:tcPr/>
          <w:p>
            <w:pPr>
              <w:pStyle w:val="Compact"/>
            </w:pPr>
            <w:r>
              <w:t xml:space="preserve">User Acceptance Testing complete</w:t>
            </w:r>
          </w:p>
        </w:tc>
        <w:tc>
          <w:tcPr/>
          <w:p>
            <w:pPr>
              <w:pStyle w:val="Compact"/>
            </w:pPr>
            <w:r>
              <w:t xml:space="preserve">$3,750</w:t>
            </w:r>
          </w:p>
        </w:tc>
        <w:tc>
          <w:tcPr/>
          <w:p>
            <w:pPr>
              <w:pStyle w:val="Compact"/>
            </w:pPr>
            <w:r>
              <w:t xml:space="preserve">Acceptance Certificate issued under Section 4.2</w:t>
            </w:r>
          </w:p>
        </w:tc>
      </w:tr>
      <w:tr>
        <w:tc>
          <w:tcPr/>
          <w:p>
            <w:pPr>
              <w:pStyle w:val="Compact"/>
            </w:pPr>
            <w:r>
              <w:t xml:space="preserve">Milestone 4</w:t>
            </w:r>
          </w:p>
        </w:tc>
        <w:tc>
          <w:tcPr/>
          <w:p>
            <w:pPr>
              <w:pStyle w:val="Compact"/>
            </w:pPr>
            <w:r>
              <w:t xml:space="preserve">Production cutover and hypercare exit</w:t>
            </w:r>
          </w:p>
        </w:tc>
        <w:tc>
          <w:tcPr/>
          <w:p>
            <w:pPr>
              <w:pStyle w:val="Compact"/>
            </w:pPr>
            <w:r>
              <w:t xml:space="preserve">$3,750</w:t>
            </w:r>
          </w:p>
        </w:tc>
        <w:tc>
          <w:tcPr/>
          <w:p>
            <w:pPr>
              <w:pStyle w:val="Compact"/>
            </w:pPr>
            <w:r>
              <w:t xml:space="preserve">Acceptance Certificate issued under Section 4.2</w:t>
            </w:r>
          </w:p>
        </w:tc>
      </w:tr>
      <w:tr>
        <w:tc>
          <w:tcPr/>
          <w:p>
            <w:pPr>
              <w:pStyle w:val="Compact"/>
            </w:pPr>
            <w:r>
              <w:rPr>
                <w:b/>
                <w:bCs/>
              </w:rPr>
              <w:t xml:space="preserve">Total fixed implementation fee</w:t>
            </w:r>
          </w:p>
        </w:tc>
        <w:tc>
          <w:tcPr/>
          <w:p>
            <w:pPr>
              <w:pStyle w:val="Compact"/>
            </w:pPr>
          </w:p>
        </w:tc>
        <w:tc>
          <w:tcPr/>
          <w:p>
            <w:pPr>
              <w:pStyle w:val="Compact"/>
            </w:pPr>
            <w:r>
              <w:rPr>
                <w:b/>
                <w:bCs/>
              </w:rPr>
              <w:t xml:space="preserve">$15,000</w:t>
            </w:r>
          </w:p>
        </w:tc>
        <w:tc>
          <w:tcPr/>
          <w:p>
            <w:pPr>
              <w:pStyle w:val="Compact"/>
            </w:pPr>
          </w:p>
        </w:tc>
      </w:tr>
    </w:tbl>
    <w:bookmarkEnd w:id="32"/>
    <w:bookmarkStart w:id="33" w:name="a.3-total-contract-value"/>
    <w:p>
      <w:pPr>
        <w:pStyle w:val="Heading3"/>
      </w:pPr>
      <w:r>
        <w:rPr>
          <w:rStyle w:val="SectionNumber"/>
        </w:rPr>
        <w:t xml:space="preserve">1.23.3</w:t>
      </w:r>
      <w:r>
        <w:tab/>
      </w:r>
      <w:r>
        <w:t xml:space="preserve">A.3 Total Contract Value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Initial Term</w:t>
            </w:r>
          </w:p>
        </w:tc>
      </w:tr>
      <w:tr>
        <w:tc>
          <w:tcPr/>
          <w:p>
            <w:pPr>
              <w:pStyle w:val="Compact"/>
            </w:pPr>
            <w:r>
              <w:t xml:space="preserve">Annual Subscription Fee</w:t>
            </w:r>
          </w:p>
        </w:tc>
        <w:tc>
          <w:tcPr/>
          <w:p>
            <w:pPr>
              <w:pStyle w:val="Compact"/>
            </w:pPr>
            <w:r>
              <w:t xml:space="preserve">$80,000</w:t>
            </w:r>
          </w:p>
        </w:tc>
      </w:tr>
      <w:tr>
        <w:tc>
          <w:tcPr/>
          <w:p>
            <w:pPr>
              <w:pStyle w:val="Compact"/>
            </w:pPr>
            <w:r>
              <w:t xml:space="preserve">Fixed implementation fee</w:t>
            </w:r>
          </w:p>
        </w:tc>
        <w:tc>
          <w:tcPr/>
          <w:p>
            <w:pPr>
              <w:pStyle w:val="Compact"/>
            </w:pPr>
            <w:r>
              <w:t xml:space="preserve">$15,000</w:t>
            </w:r>
          </w:p>
        </w:tc>
      </w:tr>
      <w:tr>
        <w:tc>
          <w:tcPr/>
          <w:p>
            <w:pPr>
              <w:pStyle w:val="Compact"/>
            </w:pPr>
            <w:r>
              <w:rPr>
                <w:b/>
                <w:bCs/>
              </w:rPr>
              <w:t xml:space="preserve">Total contract value, Initial Term</w:t>
            </w:r>
          </w:p>
        </w:tc>
        <w:tc>
          <w:tcPr/>
          <w:p>
            <w:pPr>
              <w:pStyle w:val="Compact"/>
            </w:pPr>
            <w:r>
              <w:rPr>
                <w:b/>
                <w:bCs/>
              </w:rPr>
              <w:t xml:space="preserve">$95,000</w:t>
            </w:r>
          </w:p>
        </w:tc>
      </w:tr>
    </w:tbl>
    <w:bookmarkEnd w:id="33"/>
    <w:bookmarkStart w:id="34" w:name="a.4-rates-and-overage"/>
    <w:p>
      <w:pPr>
        <w:pStyle w:val="Heading3"/>
      </w:pPr>
      <w:r>
        <w:rPr>
          <w:rStyle w:val="SectionNumber"/>
        </w:rPr>
        <w:t xml:space="preserve">1.23.4</w:t>
      </w:r>
      <w:r>
        <w:tab/>
      </w:r>
      <w:r>
        <w:t xml:space="preserve">A.4 Rates and Overage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Rate</w:t>
            </w:r>
          </w:p>
        </w:tc>
      </w:tr>
      <w:tr>
        <w:tc>
          <w:tcPr/>
          <w:p>
            <w:pPr>
              <w:pStyle w:val="Compact"/>
            </w:pPr>
            <w:r>
              <w:t xml:space="preserve">Additional Authorized User (annual, pro-rated on addition)</w:t>
            </w:r>
          </w:p>
        </w:tc>
        <w:tc>
          <w:tcPr/>
          <w:p>
            <w:pPr>
              <w:pStyle w:val="Compact"/>
            </w:pPr>
            <w:r>
              <w:t xml:space="preserve">$640 per user</w:t>
            </w:r>
          </w:p>
        </w:tc>
      </w:tr>
      <w:tr>
        <w:tc>
          <w:tcPr/>
          <w:p>
            <w:pPr>
              <w:pStyle w:val="Compact"/>
            </w:pPr>
            <w:r>
              <w:t xml:space="preserve">Document storage overage</w:t>
            </w:r>
          </w:p>
        </w:tc>
        <w:tc>
          <w:tcPr/>
          <w:p>
            <w:pPr>
              <w:pStyle w:val="Compact"/>
            </w:pPr>
            <w:r>
              <w:t xml:space="preserve">$0.18 per document per year</w:t>
            </w:r>
          </w:p>
        </w:tc>
      </w:tr>
      <w:tr>
        <w:tc>
          <w:tcPr/>
          <w:p>
            <w:pPr>
              <w:pStyle w:val="Compact"/>
            </w:pPr>
            <w:r>
              <w:t xml:space="preserve">API call overage</w:t>
            </w:r>
          </w:p>
        </w:tc>
        <w:tc>
          <w:tcPr/>
          <w:p>
            <w:pPr>
              <w:pStyle w:val="Compact"/>
            </w:pPr>
            <w:r>
              <w:t xml:space="preserve">$0.90 per 1,000 calls above the monthly limit</w:t>
            </w:r>
          </w:p>
        </w:tc>
      </w:tr>
      <w:tr>
        <w:tc>
          <w:tcPr/>
          <w:p>
            <w:pPr>
              <w:pStyle w:val="Compact"/>
            </w:pPr>
            <w:r>
              <w:t xml:space="preserve">Additional production integration</w:t>
            </w:r>
          </w:p>
        </w:tc>
        <w:tc>
          <w:tcPr/>
          <w:p>
            <w:pPr>
              <w:pStyle w:val="Compact"/>
            </w:pPr>
            <w:r>
              <w:t xml:space="preserve">$9,500 each, one-time</w:t>
            </w:r>
          </w:p>
        </w:tc>
      </w:tr>
      <w:tr>
        <w:tc>
          <w:tcPr/>
          <w:p>
            <w:pPr>
              <w:pStyle w:val="Compact"/>
            </w:pPr>
            <w:r>
              <w:t xml:space="preserve">Time-and-materials professional services</w:t>
            </w:r>
          </w:p>
        </w:tc>
        <w:tc>
          <w:tcPr/>
          <w:p>
            <w:pPr>
              <w:pStyle w:val="Compact"/>
            </w:pPr>
            <w:r>
              <w:t xml:space="preserve">$265 per hour (consultant), $340 per hour (solution architect)</w:t>
            </w:r>
          </w:p>
        </w:tc>
      </w:tr>
    </w:tbl>
    <w:bookmarkEnd w:id="34"/>
    <w:bookmarkStart w:id="35" w:name="a.5-renewal-pricing"/>
    <w:p>
      <w:pPr>
        <w:pStyle w:val="Heading3"/>
      </w:pPr>
      <w:r>
        <w:rPr>
          <w:rStyle w:val="SectionNumber"/>
        </w:rPr>
        <w:t xml:space="preserve">1.23.5</w:t>
      </w:r>
      <w:r>
        <w:tab/>
      </w:r>
      <w:r>
        <w:t xml:space="preserve">A.5 Renewal Pricing</w:t>
      </w:r>
    </w:p>
    <w:p>
      <w:pPr>
        <w:pStyle w:val="FirstParagraph"/>
      </w:pPr>
      <w:r>
        <w:t xml:space="preserve">The Annual Subscription Fee for the first Renewal Term (February 1, 2027 through January 31, 2028) is</w:t>
      </w:r>
      <w:r>
        <w:t xml:space="preserve"> </w:t>
      </w:r>
      <w:r>
        <w:rPr>
          <w:b/>
          <w:bCs/>
        </w:rPr>
        <w:t xml:space="preserve">$85,600</w:t>
      </w:r>
      <w:r>
        <w:t xml:space="preserve">, reflecting the seven percent (7%) annual uplift applied under Section 5.4. The Annual Subscription Fee for each subsequent Renewal Term is calculated on the same basis. Provider will state the applicable Renewal Term Fees in the renewal notice delivered under Section 1.4.</w:t>
      </w:r>
    </w:p>
    <w:bookmarkEnd w:id="35"/>
    <w:bookmarkEnd w:id="36"/>
    <w:bookmarkStart w:id="40" w:name="Xbbc14fb53c4b5f593cbf309e7a0ba82eb2bf007"/>
    <w:p>
      <w:pPr>
        <w:pStyle w:val="Heading2"/>
      </w:pPr>
      <w:r>
        <w:rPr>
          <w:rStyle w:val="SectionNumber"/>
        </w:rPr>
        <w:t xml:space="preserve">1.24</w:t>
      </w:r>
      <w:r>
        <w:tab/>
      </w:r>
      <w:r>
        <w:t xml:space="preserve">Exhibit B — Implementation Plan and Milestones</w:t>
      </w:r>
    </w:p>
    <w:bookmarkStart w:id="37" w:name="b.1-phases-and-milestones"/>
    <w:p>
      <w:pPr>
        <w:pStyle w:val="Heading3"/>
      </w:pPr>
      <w:r>
        <w:rPr>
          <w:rStyle w:val="SectionNumber"/>
        </w:rPr>
        <w:t xml:space="preserve">1.24.1</w:t>
      </w:r>
      <w:r>
        <w:tab/>
      </w:r>
      <w:r>
        <w:t xml:space="preserve">B.1 Phases and Milestones</w:t>
      </w:r>
    </w:p>
    <w:p>
      <w:pPr>
        <w:pStyle w:val="FirstParagraph"/>
      </w:pPr>
      <w:r>
        <w:rPr>
          <w:b/>
          <w:bCs/>
        </w:rPr>
        <w:t xml:space="preserve">Phase 1 — Discovery and Solution Design.</w:t>
      </w:r>
      <w:r>
        <w:t xml:space="preserve"> </w:t>
      </w:r>
      <w:r>
        <w:t xml:space="preserve">Milestone 1: Solution design document, data mapping specification, and integration architecture approved by Customer.</w:t>
      </w:r>
      <w:r>
        <w:t xml:space="preserve"> </w:t>
      </w:r>
      <w:r>
        <w:t xml:space="preserve">Target date: February 27, 2026.</w:t>
      </w:r>
      <w:r>
        <w:t xml:space="preserve"> </w:t>
      </w:r>
      <w:r>
        <w:t xml:space="preserve">Acceptance criteria: the solution design document addresses each in-scope process listed in Section B.3; the data mapping specification covers all fields in Customer’s legacy repository export; the integration architecture identifies each system, protocol, and data flow.</w:t>
      </w:r>
    </w:p>
    <w:p>
      <w:pPr>
        <w:pStyle w:val="BodyText"/>
      </w:pPr>
      <w:r>
        <w:rPr>
          <w:b/>
          <w:bCs/>
        </w:rPr>
        <w:t xml:space="preserve">Phase 2 — Configuration and Integration Build.</w:t>
      </w:r>
      <w:r>
        <w:t xml:space="preserve"> </w:t>
      </w:r>
      <w:r>
        <w:t xml:space="preserve">Milestone 2: Integration Readiness. Provider has configured the Platform in the Customer test tenant, has built and unit-tested the integrations listed in Section B.3, and has completed a successful end-to-end test load of at least 10,000 legacy records with an error rate below one percent (1%).</w:t>
      </w:r>
      <w:r>
        <w:t xml:space="preserve"> </w:t>
      </w:r>
      <w:r>
        <w:t xml:space="preserve">Target date: April 30, 2026.</w:t>
      </w:r>
      <w:r>
        <w:t xml:space="preserve"> </w:t>
      </w:r>
      <w:r>
        <w:t xml:space="preserve">Acceptance criteria: end-to-end test load completed at the stated error rate; each integration passes the test scripts agreed during Phase 1; no Severity 1 or Severity 2 defects remain open.</w:t>
      </w:r>
    </w:p>
    <w:p>
      <w:pPr>
        <w:pStyle w:val="BodyText"/>
      </w:pPr>
      <w:r>
        <w:rPr>
          <w:b/>
          <w:bCs/>
        </w:rPr>
        <w:t xml:space="preserve">Phase 3 — Production Configuration and Cutover Readiness.</w:t>
      </w:r>
      <w:r>
        <w:t xml:space="preserve"> </w:t>
      </w:r>
      <w:r>
        <w:t xml:space="preserve">Milestone 3: User Acceptance Testing complete. Customer’s designated testers have executed the agreed UAT scripts and all Severity 1 and Severity 2 defects have been resolved.</w:t>
      </w:r>
      <w:r>
        <w:t xml:space="preserve"> </w:t>
      </w:r>
      <w:r>
        <w:t xml:space="preserve">Target date: June 30, 2026.</w:t>
      </w:r>
      <w:r>
        <w:t xml:space="preserve"> </w:t>
      </w:r>
      <w:r>
        <w:t xml:space="preserve">Acceptance criteria: at least ninety-five percent (95%) of UAT scripts passed; all Severity 1 and Severity 2 defects closed; cutover runbook and rollback plan delivered.</w:t>
      </w:r>
    </w:p>
    <w:p>
      <w:pPr>
        <w:pStyle w:val="BodyText"/>
      </w:pPr>
      <w:r>
        <w:rPr>
          <w:b/>
          <w:bCs/>
        </w:rPr>
        <w:t xml:space="preserve">Phase 4 — Cutover and Hypercare.</w:t>
      </w:r>
      <w:r>
        <w:t xml:space="preserve"> </w:t>
      </w:r>
      <w:r>
        <w:t xml:space="preserve">Milestone 4: Production cutover complete and thirty (30) day hypercare period concluded with no unresolved Severity 1 defects.</w:t>
      </w:r>
      <w:r>
        <w:t xml:space="preserve"> </w:t>
      </w:r>
      <w:r>
        <w:t xml:space="preserve">Target date: August 31, 2026.</w:t>
      </w:r>
      <w:r>
        <w:t xml:space="preserve"> </w:t>
      </w:r>
      <w:r>
        <w:t xml:space="preserve">Acceptance criteria: production cutover executed per the runbook; legacy repository decommissioning checklist delivered; hypercare exit report accepted.</w:t>
      </w:r>
    </w:p>
    <w:p>
      <w:pPr>
        <w:pStyle w:val="BodyText"/>
      </w:pPr>
      <w:r>
        <w:rPr>
          <w:b/>
          <w:bCs/>
        </w:rPr>
        <w:t xml:space="preserve">Phase 3 may not commence until Customer has issued an Acceptance Certificate for Milestone 2, as provided in Section 4.4.</w:t>
      </w:r>
    </w:p>
    <w:bookmarkEnd w:id="37"/>
    <w:bookmarkStart w:id="38" w:name="b.2-provider-key-personnel"/>
    <w:p>
      <w:pPr>
        <w:pStyle w:val="Heading3"/>
      </w:pPr>
      <w:r>
        <w:rPr>
          <w:rStyle w:val="SectionNumber"/>
        </w:rPr>
        <w:t xml:space="preserve">1.24.2</w:t>
      </w:r>
      <w:r>
        <w:tab/>
      </w:r>
      <w:r>
        <w:t xml:space="preserve">B.2 Provider Key Personnel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Name</w:t>
            </w:r>
          </w:p>
        </w:tc>
        <w:tc>
          <w:tcPr/>
          <w:p>
            <w:pPr>
              <w:pStyle w:val="Compact"/>
            </w:pPr>
            <w:r>
              <w:t xml:space="preserve">Allocation</w:t>
            </w:r>
          </w:p>
        </w:tc>
      </w:tr>
      <w:tr>
        <w:tc>
          <w:tcPr/>
          <w:p>
            <w:pPr>
              <w:pStyle w:val="Compact"/>
            </w:pPr>
            <w:r>
              <w:t xml:space="preserve">Engagement Director</w:t>
            </w:r>
          </w:p>
        </w:tc>
        <w:tc>
          <w:tcPr/>
          <w:p>
            <w:pPr>
              <w:pStyle w:val="Compact"/>
            </w:pPr>
            <w:r>
              <w:t xml:space="preserve">Renata Villalobos</w:t>
            </w:r>
          </w:p>
        </w:tc>
        <w:tc>
          <w:tcPr/>
          <w:p>
            <w:pPr>
              <w:pStyle w:val="Compact"/>
            </w:pPr>
            <w:r>
              <w:t xml:space="preserve">20%</w:t>
            </w:r>
          </w:p>
        </w:tc>
      </w:tr>
      <w:tr>
        <w:tc>
          <w:tcPr/>
          <w:p>
            <w:pPr>
              <w:pStyle w:val="Compact"/>
            </w:pPr>
            <w:r>
              <w:t xml:space="preserve">Solution Architect</w:t>
            </w:r>
          </w:p>
        </w:tc>
        <w:tc>
          <w:tcPr/>
          <w:p>
            <w:pPr>
              <w:pStyle w:val="Compact"/>
            </w:pPr>
            <w:r>
              <w:t xml:space="preserve">To be named in the Phase 1 kickoff memorandum</w:t>
            </w:r>
          </w:p>
        </w:tc>
        <w:tc>
          <w:tcPr/>
          <w:p>
            <w:pPr>
              <w:pStyle w:val="Compact"/>
            </w:pPr>
            <w:r>
              <w:t xml:space="preserve">60%</w:t>
            </w:r>
          </w:p>
        </w:tc>
      </w:tr>
      <w:tr>
        <w:tc>
          <w:tcPr/>
          <w:p>
            <w:pPr>
              <w:pStyle w:val="Compact"/>
            </w:pPr>
            <w:r>
              <w:t xml:space="preserve">Implementation Consultant (two)</w:t>
            </w:r>
          </w:p>
        </w:tc>
        <w:tc>
          <w:tcPr/>
          <w:p>
            <w:pPr>
              <w:pStyle w:val="Compact"/>
            </w:pPr>
            <w:r>
              <w:t xml:space="preserve">To be named in the Phase 1 kickoff memorandum</w:t>
            </w:r>
          </w:p>
        </w:tc>
        <w:tc>
          <w:tcPr/>
          <w:p>
            <w:pPr>
              <w:pStyle w:val="Compact"/>
            </w:pPr>
            <w:r>
              <w:t xml:space="preserve">100% each</w:t>
            </w:r>
          </w:p>
        </w:tc>
      </w:tr>
    </w:tbl>
    <w:bookmarkEnd w:id="38"/>
    <w:bookmarkStart w:id="39" w:name="b.3-scope-and-customer-dependencies"/>
    <w:p>
      <w:pPr>
        <w:pStyle w:val="Heading3"/>
      </w:pPr>
      <w:r>
        <w:rPr>
          <w:rStyle w:val="SectionNumber"/>
        </w:rPr>
        <w:t xml:space="preserve">1.24.3</w:t>
      </w:r>
      <w:r>
        <w:tab/>
      </w:r>
      <w:r>
        <w:t xml:space="preserve">B.3 Scope and Customer Dependencies</w:t>
      </w:r>
    </w:p>
    <w:p>
      <w:pPr>
        <w:pStyle w:val="FirstParagraph"/>
      </w:pPr>
      <w:r>
        <w:t xml:space="preserve">In-scope processes: contract intake and triage; obligation extraction and tracking; renewal and notice-period tracking; approval routing; executive reporting.</w:t>
      </w:r>
    </w:p>
    <w:p>
      <w:pPr>
        <w:pStyle w:val="BodyText"/>
      </w:pPr>
      <w:r>
        <w:t xml:space="preserve">In-scope integrations: Customer’s identity provider (SAML 2.0 single sign-on); Customer’s document management system; Customer’s enterprise resource planning system (accounts payable interface); Customer’s customer relationship management system.</w:t>
      </w:r>
    </w:p>
    <w:p>
      <w:pPr>
        <w:pStyle w:val="BodyText"/>
      </w:pPr>
      <w:r>
        <w:t xml:space="preserve">Customer dependencies: (a) legacy repository export delivered by February 13, 2026; (b) named business owners available for design workshops during Phase 1; (c) test tenant credentials and network access provisioned within ten (10) Business Days after the Effective Date; (d) UAT testers identified by May 15, 2026; (e) Customer decisions on open design questions returned within five (5) Business Days of request.</w:t>
      </w:r>
    </w:p>
    <w:bookmarkEnd w:id="39"/>
    <w:bookmarkEnd w:id="40"/>
    <w:bookmarkStart w:id="41" w:name="X49ac2ca48dd78b4d35d484a7053d47ec9ed351a"/>
    <w:p>
      <w:pPr>
        <w:pStyle w:val="Heading2"/>
      </w:pPr>
      <w:r>
        <w:rPr>
          <w:rStyle w:val="SectionNumber"/>
        </w:rPr>
        <w:t xml:space="preserve">1.25</w:t>
      </w:r>
      <w:r>
        <w:tab/>
      </w:r>
      <w:r>
        <w:t xml:space="preserve">Exhibit C — Data Processing Addendum (Summary and Incorporation)</w:t>
      </w:r>
    </w:p>
    <w:p>
      <w:pPr>
        <w:pStyle w:val="FirstParagraph"/>
      </w:pPr>
      <w:r>
        <w:t xml:space="preserve">The Data Processing Addendum executed by the Parties on the Effective Date is incorporated into this Agreement by reference and forms part of it. The DPA comprises:</w:t>
      </w:r>
    </w:p>
    <w:p>
      <w:pPr>
        <w:pStyle w:val="Compact"/>
        <w:numPr>
          <w:ilvl w:val="0"/>
          <w:numId w:val="1003"/>
        </w:numPr>
      </w:pPr>
      <w:r>
        <w:rPr>
          <w:b/>
          <w:bCs/>
        </w:rPr>
        <w:t xml:space="preserve">Schedule C-1 — Processing Details:</w:t>
      </w:r>
      <w:r>
        <w:t xml:space="preserve"> </w:t>
      </w:r>
      <w:r>
        <w:t xml:space="preserve">subject matter, duration, nature and purpose of processing, categories of data subjects (Customer’s employees, contractors, and business contacts of Customer’s counterparties), and categories of Personal Data (name, business contact details, employment role, system identifiers, and content of contract records).</w:t>
      </w:r>
    </w:p>
    <w:p>
      <w:pPr>
        <w:pStyle w:val="Compact"/>
        <w:numPr>
          <w:ilvl w:val="0"/>
          <w:numId w:val="1003"/>
        </w:numPr>
      </w:pPr>
      <w:r>
        <w:rPr>
          <w:b/>
          <w:bCs/>
        </w:rPr>
        <w:t xml:space="preserve">Schedule C-2 — Technical and Organizational Measures:</w:t>
      </w:r>
      <w:r>
        <w:t xml:space="preserve"> </w:t>
      </w:r>
      <w:r>
        <w:t xml:space="preserve">access control, encryption standards (TLS 1.2 or higher in transit; AES-256 at rest), network segmentation, logging and monitoring, secure development lifecycle, personnel screening and training, vulnerability management and annual penetration testing, business continuity and disaster recovery.</w:t>
      </w:r>
    </w:p>
    <w:p>
      <w:pPr>
        <w:pStyle w:val="Compact"/>
        <w:numPr>
          <w:ilvl w:val="0"/>
          <w:numId w:val="1003"/>
        </w:numPr>
      </w:pPr>
      <w:r>
        <w:rPr>
          <w:b/>
          <w:bCs/>
        </w:rPr>
        <w:t xml:space="preserve">Schedule C-3 — Subprocessor Terms:</w:t>
      </w:r>
      <w:r>
        <w:t xml:space="preserve"> </w:t>
      </w:r>
      <w:r>
        <w:t xml:space="preserve">flow-down obligations, notice and objection procedure referenced in Section 9.5.</w:t>
      </w:r>
    </w:p>
    <w:p>
      <w:pPr>
        <w:pStyle w:val="Compact"/>
        <w:numPr>
          <w:ilvl w:val="0"/>
          <w:numId w:val="1003"/>
        </w:numPr>
      </w:pPr>
      <w:r>
        <w:rPr>
          <w:b/>
          <w:bCs/>
        </w:rPr>
        <w:t xml:space="preserve">Schedule C-4 — Data Subject Requests and Assistance:</w:t>
      </w:r>
      <w:r>
        <w:t xml:space="preserve"> </w:t>
      </w:r>
      <w:r>
        <w:t xml:space="preserve">Provider’s obligation to assist Customer in responding to data subject requests and in conducting data protection impact assessments.</w:t>
      </w:r>
    </w:p>
    <w:p>
      <w:pPr>
        <w:pStyle w:val="Compact"/>
        <w:numPr>
          <w:ilvl w:val="0"/>
          <w:numId w:val="1003"/>
        </w:numPr>
      </w:pPr>
      <w:r>
        <w:rPr>
          <w:b/>
          <w:bCs/>
        </w:rPr>
        <w:t xml:space="preserve">Schedule C-5 — Cross-Border Transfers:</w:t>
      </w:r>
      <w:r>
        <w:t xml:space="preserve"> </w:t>
      </w:r>
      <w:r>
        <w:t xml:space="preserve">the terms applicable if Provider processes Personal Data outside the United States, including the standard contractual clauses where applicable.</w:t>
      </w:r>
    </w:p>
    <w:p>
      <w:pPr>
        <w:pStyle w:val="FirstParagraph"/>
      </w:pPr>
      <w:r>
        <w:t xml:space="preserve">For the avoidance of doubt, and as provided in Section 20.1, the DPA controls over the body of this Agreement in respect of the processing of Personal Data.</w:t>
      </w:r>
    </w:p>
    <w:bookmarkEnd w:id="41"/>
    <w:bookmarkStart w:id="46" w:name="exhibit-d-support-and-service-levels"/>
    <w:p>
      <w:pPr>
        <w:pStyle w:val="Heading2"/>
      </w:pPr>
      <w:r>
        <w:rPr>
          <w:rStyle w:val="SectionNumber"/>
        </w:rPr>
        <w:t xml:space="preserve">1.26</w:t>
      </w:r>
      <w:r>
        <w:tab/>
      </w:r>
      <w:r>
        <w:t xml:space="preserve">Exhibit D — Support and Service Levels</w:t>
      </w:r>
    </w:p>
    <w:bookmarkStart w:id="42" w:name="d.1-availability"/>
    <w:p>
      <w:pPr>
        <w:pStyle w:val="Heading3"/>
      </w:pPr>
      <w:r>
        <w:rPr>
          <w:rStyle w:val="SectionNumber"/>
        </w:rPr>
        <w:t xml:space="preserve">1.26.1</w:t>
      </w:r>
      <w:r>
        <w:tab/>
      </w:r>
      <w:r>
        <w:t xml:space="preserve">D.1 Availability</w:t>
      </w:r>
    </w:p>
    <w:p>
      <w:pPr>
        <w:pStyle w:val="FirstParagraph"/>
      </w:pPr>
      <w:r>
        <w:t xml:space="preserve">Provider will make the production Platform available at least</w:t>
      </w:r>
      <w:r>
        <w:t xml:space="preserve"> </w:t>
      </w:r>
      <w:r>
        <w:rPr>
          <w:b/>
          <w:bCs/>
        </w:rPr>
        <w:t xml:space="preserve">99.9%</w:t>
      </w:r>
      <w:r>
        <w:t xml:space="preserve"> </w:t>
      </w:r>
      <w:r>
        <w:t xml:space="preserve">of the time during each calendar month, excluding scheduled maintenance notified at least five (5) Business Days in advance and not exceeding four (4) hours per month, and excluding unavailability caused by a Force Majeure Event or by Customer’s systems.</w:t>
      </w:r>
    </w:p>
    <w:bookmarkEnd w:id="42"/>
    <w:bookmarkStart w:id="43" w:name="d.2-service-credits"/>
    <w:p>
      <w:pPr>
        <w:pStyle w:val="Heading3"/>
      </w:pPr>
      <w:r>
        <w:rPr>
          <w:rStyle w:val="SectionNumber"/>
        </w:rPr>
        <w:t xml:space="preserve">1.26.2</w:t>
      </w:r>
      <w:r>
        <w:tab/>
      </w:r>
      <w:r>
        <w:t xml:space="preserve">D.2 Service Credits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Monthly availability</w:t>
            </w:r>
          </w:p>
        </w:tc>
        <w:tc>
          <w:tcPr/>
          <w:p>
            <w:pPr>
              <w:pStyle w:val="Compact"/>
            </w:pPr>
            <w:r>
              <w:t xml:space="preserve">Service Credit (percentage of monthly Subscription Fee)</w:t>
            </w:r>
          </w:p>
        </w:tc>
      </w:tr>
      <w:tr>
        <w:tc>
          <w:tcPr/>
          <w:p>
            <w:pPr>
              <w:pStyle w:val="Compact"/>
            </w:pPr>
            <w:r>
              <w:t xml:space="preserve">Below 99.9% but at or above 99.5%</w:t>
            </w:r>
          </w:p>
        </w:tc>
        <w:tc>
          <w:tcPr/>
          <w:p>
            <w:pPr>
              <w:pStyle w:val="Compact"/>
            </w:pPr>
            <w:r>
              <w:t xml:space="preserve">5%</w:t>
            </w:r>
          </w:p>
        </w:tc>
      </w:tr>
      <w:tr>
        <w:tc>
          <w:tcPr/>
          <w:p>
            <w:pPr>
              <w:pStyle w:val="Compact"/>
            </w:pPr>
            <w:r>
              <w:t xml:space="preserve">Below 99.5% but at or above 99.0%</w:t>
            </w:r>
          </w:p>
        </w:tc>
        <w:tc>
          <w:tcPr/>
          <w:p>
            <w:pPr>
              <w:pStyle w:val="Compact"/>
            </w:pPr>
            <w:r>
              <w:t xml:space="preserve">10%</w:t>
            </w:r>
          </w:p>
        </w:tc>
      </w:tr>
      <w:tr>
        <w:tc>
          <w:tcPr/>
          <w:p>
            <w:pPr>
              <w:pStyle w:val="Compact"/>
            </w:pPr>
            <w:r>
              <w:t xml:space="preserve">Below 99.0% but at or above 98.0%</w:t>
            </w:r>
          </w:p>
        </w:tc>
        <w:tc>
          <w:tcPr/>
          <w:p>
            <w:pPr>
              <w:pStyle w:val="Compact"/>
            </w:pPr>
            <w:r>
              <w:t xml:space="preserve">15%</w:t>
            </w:r>
          </w:p>
        </w:tc>
      </w:tr>
      <w:tr>
        <w:tc>
          <w:tcPr/>
          <w:p>
            <w:pPr>
              <w:pStyle w:val="Compact"/>
            </w:pPr>
            <w:r>
              <w:t xml:space="preserve">Below 98.0%</w:t>
            </w:r>
          </w:p>
        </w:tc>
        <w:tc>
          <w:tcPr/>
          <w:p>
            <w:pPr>
              <w:pStyle w:val="Compact"/>
            </w:pPr>
            <w:r>
              <w:t xml:space="preserve">25%</w:t>
            </w:r>
          </w:p>
        </w:tc>
      </w:tr>
    </w:tbl>
    <w:p>
      <w:pPr>
        <w:pStyle w:val="BodyText"/>
      </w:pPr>
      <w:r>
        <w:t xml:space="preserve">Customer must request Service Credits in writing within thirty (30) days after the end of the affected month. Service Credits are applied against the next invoice. The maximum Service Credit in any calendar month is twenty-five percent (25%) of the monthly portion of the Subscription Fee.</w:t>
      </w:r>
    </w:p>
    <w:bookmarkEnd w:id="43"/>
    <w:bookmarkStart w:id="44" w:name="d.3-support-response-targets"/>
    <w:p>
      <w:pPr>
        <w:pStyle w:val="Heading3"/>
      </w:pPr>
      <w:r>
        <w:rPr>
          <w:rStyle w:val="SectionNumber"/>
        </w:rPr>
        <w:t xml:space="preserve">1.26.3</w:t>
      </w:r>
      <w:r>
        <w:tab/>
      </w:r>
      <w:r>
        <w:t xml:space="preserve">D.3 Support Response Targets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Severity</w:t>
            </w:r>
          </w:p>
        </w:tc>
        <w:tc>
          <w:tcPr/>
          <w:p>
            <w:pPr>
              <w:pStyle w:val="Compact"/>
            </w:pPr>
            <w:r>
              <w:t xml:space="preserve">Definition</w:t>
            </w:r>
          </w:p>
        </w:tc>
        <w:tc>
          <w:tcPr/>
          <w:p>
            <w:pPr>
              <w:pStyle w:val="Compact"/>
            </w:pPr>
            <w:r>
              <w:t xml:space="preserve">Response target</w:t>
            </w:r>
          </w:p>
        </w:tc>
        <w:tc>
          <w:tcPr/>
          <w:p>
            <w:pPr>
              <w:pStyle w:val="Compact"/>
            </w:pPr>
            <w:r>
              <w:t xml:space="preserve">Resolution target</w:t>
            </w:r>
          </w:p>
        </w:tc>
      </w:tr>
      <w:tr>
        <w:tc>
          <w:tcPr/>
          <w:p>
            <w:pPr>
              <w:pStyle w:val="Compact"/>
            </w:pPr>
            <w:r>
              <w:t xml:space="preserve">Severity 1</w:t>
            </w:r>
          </w:p>
        </w:tc>
        <w:tc>
          <w:tcPr/>
          <w:p>
            <w:pPr>
              <w:pStyle w:val="Compact"/>
            </w:pPr>
            <w:r>
              <w:t xml:space="preserve">Production down or Customer Data at risk</w:t>
            </w:r>
          </w:p>
        </w:tc>
        <w:tc>
          <w:tcPr/>
          <w:p>
            <w:pPr>
              <w:pStyle w:val="Compact"/>
            </w:pPr>
            <w:r>
              <w:t xml:space="preserve">1 hour, 24x7</w:t>
            </w:r>
          </w:p>
        </w:tc>
        <w:tc>
          <w:tcPr/>
          <w:p>
            <w:pPr>
              <w:pStyle w:val="Compact"/>
            </w:pPr>
            <w:r>
              <w:t xml:space="preserve">8 hours</w:t>
            </w:r>
          </w:p>
        </w:tc>
      </w:tr>
      <w:tr>
        <w:tc>
          <w:tcPr/>
          <w:p>
            <w:pPr>
              <w:pStyle w:val="Compact"/>
            </w:pPr>
            <w:r>
              <w:t xml:space="preserve">Severity 2</w:t>
            </w:r>
          </w:p>
        </w:tc>
        <w:tc>
          <w:tcPr/>
          <w:p>
            <w:pPr>
              <w:pStyle w:val="Compact"/>
            </w:pPr>
            <w:r>
              <w:t xml:space="preserve">Major function unavailable, no workaround</w:t>
            </w:r>
          </w:p>
        </w:tc>
        <w:tc>
          <w:tcPr/>
          <w:p>
            <w:pPr>
              <w:pStyle w:val="Compact"/>
            </w:pPr>
            <w:r>
              <w:t xml:space="preserve">4 business hours</w:t>
            </w:r>
          </w:p>
        </w:tc>
        <w:tc>
          <w:tcPr/>
          <w:p>
            <w:pPr>
              <w:pStyle w:val="Compact"/>
            </w:pPr>
            <w:r>
              <w:t xml:space="preserve">3 Business Days</w:t>
            </w:r>
          </w:p>
        </w:tc>
      </w:tr>
      <w:tr>
        <w:tc>
          <w:tcPr/>
          <w:p>
            <w:pPr>
              <w:pStyle w:val="Compact"/>
            </w:pPr>
            <w:r>
              <w:t xml:space="preserve">Severity 3</w:t>
            </w:r>
          </w:p>
        </w:tc>
        <w:tc>
          <w:tcPr/>
          <w:p>
            <w:pPr>
              <w:pStyle w:val="Compact"/>
            </w:pPr>
            <w:r>
              <w:t xml:space="preserve">Function impaired, workaround available</w:t>
            </w:r>
          </w:p>
        </w:tc>
        <w:tc>
          <w:tcPr/>
          <w:p>
            <w:pPr>
              <w:pStyle w:val="Compact"/>
            </w:pPr>
            <w:r>
              <w:t xml:space="preserve">1 Business Day</w:t>
            </w:r>
          </w:p>
        </w:tc>
        <w:tc>
          <w:tcPr/>
          <w:p>
            <w:pPr>
              <w:pStyle w:val="Compact"/>
            </w:pPr>
            <w:r>
              <w:t xml:space="preserve">10 Business Days</w:t>
            </w:r>
          </w:p>
        </w:tc>
      </w:tr>
      <w:tr>
        <w:tc>
          <w:tcPr/>
          <w:p>
            <w:pPr>
              <w:pStyle w:val="Compact"/>
            </w:pPr>
            <w:r>
              <w:t xml:space="preserve">Severity 4</w:t>
            </w:r>
          </w:p>
        </w:tc>
        <w:tc>
          <w:tcPr/>
          <w:p>
            <w:pPr>
              <w:pStyle w:val="Compact"/>
            </w:pPr>
            <w:r>
              <w:t xml:space="preserve">Question or enhancement request</w:t>
            </w:r>
          </w:p>
        </w:tc>
        <w:tc>
          <w:tcPr/>
          <w:p>
            <w:pPr>
              <w:pStyle w:val="Compact"/>
            </w:pPr>
            <w:r>
              <w:t xml:space="preserve">2 Business Days</w:t>
            </w:r>
          </w:p>
        </w:tc>
        <w:tc>
          <w:tcPr/>
          <w:p>
            <w:pPr>
              <w:pStyle w:val="Compact"/>
            </w:pPr>
            <w:r>
              <w:t xml:space="preserve">Next release cycle</w:t>
            </w:r>
          </w:p>
        </w:tc>
      </w:tr>
    </w:tbl>
    <w:bookmarkEnd w:id="44"/>
    <w:bookmarkStart w:id="45" w:name="d.4-business-continuity"/>
    <w:p>
      <w:pPr>
        <w:pStyle w:val="Heading3"/>
      </w:pPr>
      <w:r>
        <w:rPr>
          <w:rStyle w:val="SectionNumber"/>
        </w:rPr>
        <w:t xml:space="preserve">1.26.4</w:t>
      </w:r>
      <w:r>
        <w:tab/>
      </w:r>
      <w:r>
        <w:t xml:space="preserve">D.4 Business Continuity</w:t>
      </w:r>
    </w:p>
    <w:p>
      <w:pPr>
        <w:pStyle w:val="FirstParagraph"/>
      </w:pPr>
      <w:r>
        <w:t xml:space="preserve">Provider will maintain a documented business continuity and disaster recovery plan with a recovery time objective of eight (8) hours and a recovery point objective of one (1) hour for the production Platform, will test that plan at least annually, and will provide a summary of test results to Customer on request.</w:t>
      </w:r>
    </w:p>
    <w:bookmarkEnd w:id="45"/>
    <w:bookmarkEnd w:id="46"/>
    <w:bookmarkStart w:id="47" w:name="exhibit-e-approved-subprocessors"/>
    <w:p>
      <w:pPr>
        <w:pStyle w:val="Heading2"/>
      </w:pPr>
      <w:r>
        <w:rPr>
          <w:rStyle w:val="SectionNumber"/>
        </w:rPr>
        <w:t xml:space="preserve">1.27</w:t>
      </w:r>
      <w:r>
        <w:tab/>
      </w:r>
      <w:r>
        <w:t xml:space="preserve">Exhibit E — Approved Subprocessors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Subprocessor category</w:t>
            </w:r>
          </w:p>
        </w:tc>
        <w:tc>
          <w:tcPr/>
          <w:p>
            <w:pPr>
              <w:pStyle w:val="Compact"/>
            </w:pPr>
            <w:r>
              <w:t xml:space="preserve">Purpose</w:t>
            </w:r>
          </w:p>
        </w:tc>
        <w:tc>
          <w:tcPr/>
          <w:p>
            <w:pPr>
              <w:pStyle w:val="Compact"/>
            </w:pPr>
            <w:r>
              <w:t xml:space="preserve">Location of processing</w:t>
            </w:r>
          </w:p>
        </w:tc>
      </w:tr>
      <w:tr>
        <w:tc>
          <w:tcPr/>
          <w:p>
            <w:pPr>
              <w:pStyle w:val="Compact"/>
            </w:pPr>
            <w:r>
              <w:t xml:space="preserve">Cloud infrastructure provider</w:t>
            </w:r>
          </w:p>
        </w:tc>
        <w:tc>
          <w:tcPr/>
          <w:p>
            <w:pPr>
              <w:pStyle w:val="Compact"/>
            </w:pPr>
            <w:r>
              <w:t xml:space="preserve">Hosting of the production and test environments</w:t>
            </w:r>
          </w:p>
        </w:tc>
        <w:tc>
          <w:tcPr/>
          <w:p>
            <w:pPr>
              <w:pStyle w:val="Compact"/>
            </w:pPr>
            <w:r>
              <w:t xml:space="preserve">United States</w:t>
            </w:r>
          </w:p>
        </w:tc>
      </w:tr>
      <w:tr>
        <w:tc>
          <w:tcPr/>
          <w:p>
            <w:pPr>
              <w:pStyle w:val="Compact"/>
            </w:pPr>
            <w:r>
              <w:t xml:space="preserve">Email and notification delivery</w:t>
            </w:r>
          </w:p>
        </w:tc>
        <w:tc>
          <w:tcPr/>
          <w:p>
            <w:pPr>
              <w:pStyle w:val="Compact"/>
            </w:pPr>
            <w:r>
              <w:t xml:space="preserve">Transactional notifications to Authorized Users</w:t>
            </w:r>
          </w:p>
        </w:tc>
        <w:tc>
          <w:tcPr/>
          <w:p>
            <w:pPr>
              <w:pStyle w:val="Compact"/>
            </w:pPr>
            <w:r>
              <w:t xml:space="preserve">United States</w:t>
            </w:r>
          </w:p>
        </w:tc>
      </w:tr>
      <w:tr>
        <w:tc>
          <w:tcPr/>
          <w:p>
            <w:pPr>
              <w:pStyle w:val="Compact"/>
            </w:pPr>
            <w:r>
              <w:t xml:space="preserve">Application performance monitoring</w:t>
            </w:r>
          </w:p>
        </w:tc>
        <w:tc>
          <w:tcPr/>
          <w:p>
            <w:pPr>
              <w:pStyle w:val="Compact"/>
            </w:pPr>
            <w:r>
              <w:t xml:space="preserve">Telemetry and error diagnostics</w:t>
            </w:r>
          </w:p>
        </w:tc>
        <w:tc>
          <w:tcPr/>
          <w:p>
            <w:pPr>
              <w:pStyle w:val="Compact"/>
            </w:pPr>
            <w:r>
              <w:t xml:space="preserve">United States</w:t>
            </w:r>
          </w:p>
        </w:tc>
      </w:tr>
      <w:tr>
        <w:tc>
          <w:tcPr/>
          <w:p>
            <w:pPr>
              <w:pStyle w:val="Compact"/>
            </w:pPr>
            <w:r>
              <w:t xml:space="preserve">Customer support ticketing</w:t>
            </w:r>
          </w:p>
        </w:tc>
        <w:tc>
          <w:tcPr/>
          <w:p>
            <w:pPr>
              <w:pStyle w:val="Compact"/>
            </w:pPr>
            <w:r>
              <w:t xml:space="preserve">Support case management</w:t>
            </w:r>
          </w:p>
        </w:tc>
        <w:tc>
          <w:tcPr/>
          <w:p>
            <w:pPr>
              <w:pStyle w:val="Compact"/>
            </w:pPr>
            <w:r>
              <w:t xml:space="preserve">United States</w:t>
            </w:r>
          </w:p>
        </w:tc>
      </w:tr>
    </w:tbl>
    <w:p>
      <w:pPr>
        <w:pStyle w:val="BodyText"/>
      </w:pPr>
      <w:r>
        <w:t xml:space="preserve">Provider will maintain a current list of named subprocessors and will notify Customer of changes in accordance with Section 9.5.</w:t>
      </w:r>
    </w:p>
    <w:bookmarkEnd w:id="47"/>
    <w:bookmarkStart w:id="48" w:name="signature-page"/>
    <w:p>
      <w:pPr>
        <w:pStyle w:val="Heading2"/>
      </w:pPr>
      <w:r>
        <w:rPr>
          <w:rStyle w:val="SectionNumber"/>
        </w:rPr>
        <w:t xml:space="preserve">1.28</w:t>
      </w:r>
      <w:r>
        <w:tab/>
      </w:r>
      <w:r>
        <w:t xml:space="preserve">Signature Page</w:t>
      </w:r>
    </w:p>
    <w:p>
      <w:pPr>
        <w:pStyle w:val="FirstParagraph"/>
      </w:pPr>
      <w:r>
        <w:rPr>
          <w:b/>
          <w:bCs/>
        </w:rPr>
        <w:t xml:space="preserve">IN WITNESS WHEREOF</w:t>
      </w:r>
      <w:r>
        <w:t xml:space="preserve">, the Parties have executed this Master Services Agreement as of the Effective Date.</w:t>
      </w:r>
    </w:p>
    <w:p>
      <w:pPr>
        <w:pStyle w:val="BodyText"/>
      </w:pPr>
      <w:r>
        <w:rPr>
          <w:b/>
          <w:bCs/>
        </w:rPr>
        <w:t xml:space="preserve">COPPERLINE SOFTWARE, INC.</w:t>
      </w:r>
    </w:p>
    <w:p>
      <w:pPr>
        <w:pStyle w:val="BodyText"/>
      </w:pPr>
      <w:r>
        <w:t xml:space="preserve">By: _______________________________</w:t>
      </w:r>
    </w:p>
    <w:p>
      <w:pPr>
        <w:pStyle w:val="BodyText"/>
      </w:pPr>
      <w:r>
        <w:t xml:space="preserve">Name: Everett Nakashima</w:t>
      </w:r>
    </w:p>
    <w:p>
      <w:pPr>
        <w:pStyle w:val="BodyText"/>
      </w:pPr>
      <w:r>
        <w:t xml:space="preserve">Title: Chief Executive Officer</w:t>
      </w:r>
    </w:p>
    <w:p>
      <w:pPr>
        <w:pStyle w:val="BodyText"/>
      </w:pPr>
      <w:r>
        <w:t xml:space="preserve">Date: _______________________________</w:t>
      </w:r>
    </w:p>
    <w:p>
      <w:pPr>
        <w:pStyle w:val="BodyText"/>
      </w:pPr>
      <w:r>
        <w:rPr>
          <w:b/>
          <w:bCs/>
        </w:rPr>
        <w:t xml:space="preserve">ATTICUS DUNDEE INC.</w:t>
      </w:r>
    </w:p>
    <w:p>
      <w:pPr>
        <w:pStyle w:val="BodyText"/>
      </w:pPr>
      <w:r>
        <w:t xml:space="preserve">By: _______________________________</w:t>
      </w:r>
    </w:p>
    <w:p>
      <w:pPr>
        <w:pStyle w:val="BodyText"/>
      </w:pPr>
      <w:r>
        <w:t xml:space="preserve">Name: Daniel Osei-Bonsu</w:t>
      </w:r>
    </w:p>
    <w:p>
      <w:pPr>
        <w:pStyle w:val="BodyText"/>
      </w:pPr>
      <w:r>
        <w:t xml:space="preserve">Title: Chief Financial Officer</w:t>
      </w:r>
    </w:p>
    <w:p>
      <w:pPr>
        <w:pStyle w:val="BodyText"/>
      </w:pPr>
      <w:r>
        <w:t xml:space="preserve">Date: _______________________________</w:t>
      </w:r>
    </w:p>
    <w:p>
      <w:pPr>
        <w:pStyle w:val="BodyText"/>
      </w:pPr>
      <w:r>
        <w:t xml:space="preserve">Reviewed and approved as to legal form:</w:t>
      </w:r>
    </w:p>
    <w:p>
      <w:pPr>
        <w:pStyle w:val="BodyText"/>
      </w:pPr>
      <w:r>
        <w:t xml:space="preserve">By: _______________________________</w:t>
      </w:r>
    </w:p>
    <w:p>
      <w:pPr>
        <w:pStyle w:val="BodyText"/>
      </w:pPr>
      <w:r>
        <w:t xml:space="preserve">Name: Priya Raghunathan</w:t>
      </w:r>
    </w:p>
    <w:p>
      <w:pPr>
        <w:pStyle w:val="BodyText"/>
      </w:pPr>
      <w:r>
        <w:t xml:space="preserve">Title: General Counsel and Corporate Secretary</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jc w:val="both"/>
    </w:p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jc w:val="left"/>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jc w:val="left"/>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jc w:val="left"/>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jc w:val="left"/>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jc w:val="left"/>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jc w:val="left"/>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jc w:val="left"/>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jc w:val="left"/>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jc w:val="left"/>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2026-08-09T01:49:51Z</dcterms:created>
  <dcterms:modified xsi:type="dcterms:W3CDTF">2026-08-09T01:49:51Z</dcterms:modified>
</cp:coreProperties>
</file>

<file path=docProps/custom.xml><?xml version="1.0" encoding="utf-8"?>
<Properties xmlns="http://schemas.openxmlformats.org/officeDocument/2006/custom-properties" xmlns:vt="http://schemas.openxmlformats.org/officeDocument/2006/docPropsVTypes"/>
</file>