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ocial-media-policy"/>
    <w:p>
      <w:pPr>
        <w:pStyle w:val="Heading1"/>
      </w:pPr>
      <w:r>
        <w:rPr>
          <w:rStyle w:val="SectionNumber"/>
        </w:rPr>
        <w:t xml:space="preserve">1</w:t>
      </w:r>
      <w:r>
        <w:tab/>
      </w:r>
      <w:r>
        <w:t xml:space="preserve">Social Media Policy</w:t>
      </w:r>
    </w:p>
    <w:bookmarkStart w:id="9" w:name="document-control"/>
    <w:p>
      <w:pPr>
        <w:pStyle w:val="Heading2"/>
      </w:pPr>
      <w:r>
        <w:rPr>
          <w:rStyle w:val="SectionNumber"/>
        </w:rPr>
        <w:t xml:space="preserve">1.1</w:t>
      </w:r>
      <w:r>
        <w:tab/>
      </w: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ADI-POL-004</w:t>
            </w:r>
          </w:p>
        </w:tc>
      </w:tr>
      <w:tr>
        <w:tc>
          <w:tcPr/>
          <w:p>
            <w:pPr>
              <w:pStyle w:val="Compact"/>
            </w:pPr>
            <w:r>
              <w:t xml:space="preserve">Version</w:t>
            </w:r>
          </w:p>
        </w:tc>
        <w:tc>
          <w:tcPr/>
          <w:p>
            <w:pPr>
              <w:pStyle w:val="Compact"/>
            </w:pPr>
            <w:r>
              <w:t xml:space="preserve">1.2</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Ines Kowalczyk, Vice President, Brand and Communications</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2022-11-04</w:t>
            </w:r>
          </w:p>
        </w:tc>
      </w:tr>
      <w:tr>
        <w:tc>
          <w:tcPr/>
          <w:p>
            <w:pPr>
              <w:pStyle w:val="Compact"/>
            </w:pPr>
            <w:r>
              <w:t xml:space="preserve">Last Reviewed</w:t>
            </w:r>
          </w:p>
        </w:tc>
        <w:tc>
          <w:tcPr/>
          <w:p>
            <w:pPr>
              <w:pStyle w:val="Compact"/>
            </w:pPr>
            <w:r>
              <w:t xml:space="preserve">2022-11-04</w:t>
            </w:r>
          </w:p>
        </w:tc>
      </w:tr>
      <w:tr>
        <w:tc>
          <w:tcPr/>
          <w:p>
            <w:pPr>
              <w:pStyle w:val="Compact"/>
            </w:pPr>
            <w:r>
              <w:t xml:space="preserve">Next Review Due</w:t>
            </w:r>
          </w:p>
        </w:tc>
        <w:tc>
          <w:tcPr/>
          <w:p>
            <w:pPr>
              <w:pStyle w:val="Compact"/>
            </w:pPr>
            <w:r>
              <w:t xml:space="preserve">2023-11-04</w:t>
            </w:r>
          </w:p>
        </w:tc>
      </w:tr>
      <w:tr>
        <w:tc>
          <w:tcPr/>
          <w:p>
            <w:pPr>
              <w:pStyle w:val="Compact"/>
            </w:pPr>
            <w:r>
              <w:t xml:space="preserve">Supersedes</w:t>
            </w:r>
          </w:p>
        </w:tc>
        <w:tc>
          <w:tcPr/>
          <w:p>
            <w:pPr>
              <w:pStyle w:val="Compact"/>
            </w:pPr>
            <w:r>
              <w:t xml:space="preserve">ADI-POL-004 v1.1</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rPr>
          <w:rStyle w:val="SectionNumber"/>
        </w:rPr>
        <w:t xml:space="preserve">1.2</w:t>
      </w:r>
      <w:r>
        <w:tab/>
      </w:r>
      <w:r>
        <w:t xml:space="preserve">1. Purpose</w:t>
      </w:r>
    </w:p>
    <w:p>
      <w:pPr>
        <w:pStyle w:val="FirstParagraph"/>
      </w:pPr>
      <w:r>
        <w:t xml:space="preserve">Social media is one of the ways Atticus Dundee Inc. reaches customers, candidates, analysts, and the developer community. This policy sets out who may speak for the Company on social platforms, how Company content is planned and approved, and what employees should keep in mind when they post about the Company in a personal capacity.</w:t>
      </w:r>
    </w:p>
    <w:p>
      <w:pPr>
        <w:pStyle w:val="BodyText"/>
      </w:pPr>
      <w:r>
        <w:t xml:space="preserve">The Company’s intent is not to discourage employees from participating online. It is to make sure that content published in the Company’s name is accurate, consistent with the brand, and cleared by the people accountable for it.</w:t>
      </w:r>
    </w:p>
    <w:bookmarkEnd w:id="10"/>
    <w:bookmarkStart w:id="11" w:name="scope"/>
    <w:p>
      <w:pPr>
        <w:pStyle w:val="Heading2"/>
      </w:pPr>
      <w:r>
        <w:rPr>
          <w:rStyle w:val="SectionNumber"/>
        </w:rPr>
        <w:t xml:space="preserve">1.3</w:t>
      </w:r>
      <w:r>
        <w:tab/>
      </w:r>
      <w:r>
        <w:t xml:space="preserve">2. Scope</w:t>
      </w:r>
    </w:p>
    <w:p>
      <w:pPr>
        <w:pStyle w:val="FirstParagraph"/>
      </w:pPr>
      <w:r>
        <w:t xml:space="preserve">This policy applies to all employees, officers, directors, contractors, and temporary workers, and to all social platforms, including professional networking sites such as LinkedIn, microblogging platforms such as Twitter, image and video platforms such as Instagram and YouTube, community forums and developer sites, employer-review sites such as Glassdoor, and the comment sections of third-party publications.</w:t>
      </w:r>
    </w:p>
    <w:p>
      <w:pPr>
        <w:pStyle w:val="BodyText"/>
      </w:pPr>
      <w:r>
        <w:t xml:space="preserve">It applies to activity on Company channels and to personal activity that identifies the individual as an employee of Atticus Dundee or that discusses the Company, its products, its customers, or its partners.</w:t>
      </w:r>
    </w:p>
    <w:bookmarkEnd w:id="11"/>
    <w:bookmarkStart w:id="12" w:name="definitions"/>
    <w:p>
      <w:pPr>
        <w:pStyle w:val="Heading2"/>
      </w:pPr>
      <w:r>
        <w:rPr>
          <w:rStyle w:val="SectionNumber"/>
        </w:rPr>
        <w:t xml:space="preserve">1.4</w:t>
      </w:r>
      <w:r>
        <w:tab/>
      </w:r>
      <w:r>
        <w:t xml:space="preserve">3. Definitions</w:t>
      </w:r>
    </w:p>
    <w:p>
      <w:pPr>
        <w:pStyle w:val="FirstParagraph"/>
      </w:pPr>
      <w:r>
        <w:rPr>
          <w:b/>
          <w:bCs/>
        </w:rPr>
        <w:t xml:space="preserve">Company channel.</w:t>
      </w:r>
      <w:r>
        <w:t xml:space="preserve"> </w:t>
      </w:r>
      <w:r>
        <w:t xml:space="preserve">A social account, page, group, or profile operated in the name of Atticus Dundee Inc. or one of its products, and listed in the channel register maintained by Brand and Communications.</w:t>
      </w:r>
    </w:p>
    <w:p>
      <w:pPr>
        <w:pStyle w:val="BodyText"/>
      </w:pPr>
      <w:r>
        <w:rPr>
          <w:b/>
          <w:bCs/>
        </w:rPr>
        <w:t xml:space="preserve">Corporate blog.</w:t>
      </w:r>
      <w:r>
        <w:t xml:space="preserve"> </w:t>
      </w:r>
      <w:r>
        <w:t xml:space="preserve">The Company’s owned publication at the Company website, which is the canonical home for announcements, product posts, and thought leadership. Social posts should point to the corporate blog rather than restate its content in full.</w:t>
      </w:r>
    </w:p>
    <w:p>
      <w:pPr>
        <w:pStyle w:val="BodyText"/>
      </w:pPr>
      <w:r>
        <w:rPr>
          <w:b/>
          <w:bCs/>
        </w:rPr>
        <w:t xml:space="preserve">Verification badge.</w:t>
      </w:r>
      <w:r>
        <w:t xml:space="preserve"> </w:t>
      </w:r>
      <w:r>
        <w:t xml:space="preserve">The identity confirmation issued by a platform to an account it has verified. Verification is requested and held only by Brand and Communications.</w:t>
      </w:r>
    </w:p>
    <w:p>
      <w:pPr>
        <w:pStyle w:val="BodyText"/>
      </w:pPr>
      <w:r>
        <w:rPr>
          <w:b/>
          <w:bCs/>
        </w:rPr>
        <w:t xml:space="preserve">Personal capacity.</w:t>
      </w:r>
      <w:r>
        <w:t xml:space="preserve"> </w:t>
      </w:r>
      <w:r>
        <w:t xml:space="preserve">Posting from an individual’s own account about matters of personal interest, without acting for or on behalf of the Company.</w:t>
      </w:r>
    </w:p>
    <w:bookmarkEnd w:id="12"/>
    <w:bookmarkStart w:id="13" w:name="roles-and-responsibilities"/>
    <w:p>
      <w:pPr>
        <w:pStyle w:val="Heading2"/>
      </w:pPr>
      <w:r>
        <w:rPr>
          <w:rStyle w:val="SectionNumber"/>
        </w:rPr>
        <w:t xml:space="preserve">1.5</w:t>
      </w:r>
      <w:r>
        <w:tab/>
      </w:r>
      <w:r>
        <w:t xml:space="preserve">4. Roles and Responsibilities</w:t>
      </w:r>
    </w:p>
    <w:p>
      <w:pPr>
        <w:pStyle w:val="FirstParagraph"/>
      </w:pPr>
      <w:r>
        <w:rPr>
          <w:b/>
          <w:bCs/>
        </w:rPr>
        <w:t xml:space="preserve">Brand and Communications</w:t>
      </w:r>
      <w:r>
        <w:t xml:space="preserve"> </w:t>
      </w:r>
      <w:r>
        <w:t xml:space="preserve">owns this policy, operates the channel register, holds the credentials for all Company channels, manages verification, publishes the quarterly social calendar, and is the only function authorized to respond publicly to media or analyst inquiries.</w:t>
      </w:r>
    </w:p>
    <w:p>
      <w:pPr>
        <w:pStyle w:val="BodyText"/>
      </w:pPr>
      <w:r>
        <w:rPr>
          <w:b/>
          <w:bCs/>
        </w:rPr>
        <w:t xml:space="preserve">Marketing Communications</w:t>
      </w:r>
      <w:r>
        <w:t xml:space="preserve"> </w:t>
      </w:r>
      <w:r>
        <w:t xml:space="preserve">operates the intake form described in Section 6, drafts and schedules content, and maintains the content archive.</w:t>
      </w:r>
    </w:p>
    <w:p>
      <w:pPr>
        <w:pStyle w:val="BodyText"/>
      </w:pPr>
      <w:r>
        <w:rPr>
          <w:b/>
          <w:bCs/>
        </w:rPr>
        <w:t xml:space="preserve">The Legal Department</w:t>
      </w:r>
      <w:r>
        <w:t xml:space="preserve"> </w:t>
      </w:r>
      <w:r>
        <w:t xml:space="preserve">reviews content that makes competitive claims, references customers by name, discusses pending transactions or litigation, or includes statements about financial performance.</w:t>
      </w:r>
    </w:p>
    <w:p>
      <w:pPr>
        <w:pStyle w:val="BodyText"/>
      </w:pPr>
      <w:r>
        <w:rPr>
          <w:b/>
          <w:bCs/>
        </w:rPr>
        <w:t xml:space="preserve">People Operations</w:t>
      </w:r>
      <w:r>
        <w:t xml:space="preserve"> </w:t>
      </w:r>
      <w:r>
        <w:t xml:space="preserve">owns employer-brand content, including responses on employer-review sites, in coordination with Brand and Communications.</w:t>
      </w:r>
    </w:p>
    <w:p>
      <w:pPr>
        <w:pStyle w:val="BodyText"/>
      </w:pPr>
      <w:r>
        <w:rPr>
          <w:b/>
          <w:bCs/>
        </w:rPr>
        <w:t xml:space="preserve">Managers</w:t>
      </w:r>
      <w:r>
        <w:t xml:space="preserve"> </w:t>
      </w:r>
      <w:r>
        <w:t xml:space="preserve">make sure their teams know that only Company channels speak for the Company.</w:t>
      </w:r>
    </w:p>
    <w:bookmarkEnd w:id="13"/>
    <w:bookmarkStart w:id="14" w:name="company-channels"/>
    <w:p>
      <w:pPr>
        <w:pStyle w:val="Heading2"/>
      </w:pPr>
      <w:r>
        <w:rPr>
          <w:rStyle w:val="SectionNumber"/>
        </w:rPr>
        <w:t xml:space="preserve">1.6</w:t>
      </w:r>
      <w:r>
        <w:tab/>
      </w:r>
      <w:r>
        <w:t xml:space="preserve">5. Company Channels</w:t>
      </w:r>
    </w:p>
    <w:p>
      <w:pPr>
        <w:pStyle w:val="Compact"/>
        <w:numPr>
          <w:ilvl w:val="0"/>
          <w:numId w:val="1001"/>
        </w:numPr>
      </w:pPr>
      <w:r>
        <w:t xml:space="preserve">New Company channels may be created only by Brand and Communications. Requests for a new channel, including channels for a product line, a regional team, or an event, are submitted through the intake form and are assessed against the existing channel portfolio.</w:t>
      </w:r>
    </w:p>
    <w:p>
      <w:pPr>
        <w:pStyle w:val="Compact"/>
        <w:numPr>
          <w:ilvl w:val="0"/>
          <w:numId w:val="1001"/>
        </w:numPr>
      </w:pPr>
      <w:r>
        <w:t xml:space="preserve">Every Company channel is recorded in the channel register with its platform, handle, owner, purpose, and the two named administrators who hold access.</w:t>
      </w:r>
    </w:p>
    <w:p>
      <w:pPr>
        <w:pStyle w:val="Compact"/>
        <w:numPr>
          <w:ilvl w:val="0"/>
          <w:numId w:val="1001"/>
        </w:numPr>
      </w:pPr>
      <w:r>
        <w:t xml:space="preserve">Credentials for Company channels are held in the Brand and Communications password vault. Personal accounts are never used to administer a Company channel, and channel credentials are never shared by email or chat.</w:t>
      </w:r>
    </w:p>
    <w:p>
      <w:pPr>
        <w:pStyle w:val="Compact"/>
        <w:numPr>
          <w:ilvl w:val="0"/>
          <w:numId w:val="1001"/>
        </w:numPr>
      </w:pPr>
      <w:r>
        <w:t xml:space="preserve">Company channels use approved profile imagery, the current brand color palette, and the approved boilerplate description. Brand Guidelines govern all visual treatment.</w:t>
      </w:r>
    </w:p>
    <w:p>
      <w:pPr>
        <w:pStyle w:val="Compact"/>
        <w:numPr>
          <w:ilvl w:val="0"/>
          <w:numId w:val="1001"/>
        </w:numPr>
      </w:pPr>
      <w:r>
        <w:t xml:space="preserve">Only Brand and Communications may apply for or manage a platform verification badge. Employees should not represent an unverified account as official, and should report impersonating or squatted accounts to comms@atticusdundee.example so that a platform takedown can be filed.</w:t>
      </w:r>
    </w:p>
    <w:p>
      <w:pPr>
        <w:pStyle w:val="Compact"/>
        <w:numPr>
          <w:ilvl w:val="0"/>
          <w:numId w:val="1001"/>
        </w:numPr>
      </w:pPr>
      <w:r>
        <w:t xml:space="preserve">Dormant channels are closed or archived at the quarterly review described in Section 6.</w:t>
      </w:r>
    </w:p>
    <w:bookmarkEnd w:id="14"/>
    <w:bookmarkStart w:id="15" w:name="content-planning-and-approval"/>
    <w:p>
      <w:pPr>
        <w:pStyle w:val="Heading2"/>
      </w:pPr>
      <w:r>
        <w:rPr>
          <w:rStyle w:val="SectionNumber"/>
        </w:rPr>
        <w:t xml:space="preserve">1.7</w:t>
      </w:r>
      <w:r>
        <w:tab/>
      </w:r>
      <w:r>
        <w:t xml:space="preserve">6. Content Planning and Approval</w:t>
      </w:r>
    </w:p>
    <w:p>
      <w:pPr>
        <w:pStyle w:val="Compact"/>
        <w:numPr>
          <w:ilvl w:val="0"/>
          <w:numId w:val="1002"/>
        </w:numPr>
      </w:pPr>
      <w:r>
        <w:t xml:space="preserve">All content intended for a Company channel is submitted through the Marketing Communications intake form. The form captures the requested publication date, the audience, the campaign or product it supports, the draft copy, any creative assets, and the requesting stakeholder.</w:t>
      </w:r>
    </w:p>
    <w:p>
      <w:pPr>
        <w:pStyle w:val="Compact"/>
        <w:numPr>
          <w:ilvl w:val="0"/>
          <w:numId w:val="1002"/>
        </w:numPr>
      </w:pPr>
      <w:r>
        <w:t xml:space="preserve">Requests are submitted at least ten business days before the requested publication date. Requests tied to an announcement, an embargo, or an event are submitted at least fifteen business days ahead.</w:t>
      </w:r>
    </w:p>
    <w:p>
      <w:pPr>
        <w:pStyle w:val="Compact"/>
        <w:numPr>
          <w:ilvl w:val="0"/>
          <w:numId w:val="1002"/>
        </w:numPr>
      </w:pPr>
      <w:r>
        <w:t xml:space="preserve">Marketing Communications triages each request, drafts or edits copy to the brand voice, and routes the item for the approvals it needs. Product claims are approved by Product Marketing. Customer references are approved by the account owner and by the Legal Department, and require a signed customer approval on file. Financial statements and forward-looking language are approved by the Legal Department and by Finance.</w:t>
      </w:r>
    </w:p>
    <w:p>
      <w:pPr>
        <w:pStyle w:val="Compact"/>
        <w:numPr>
          <w:ilvl w:val="0"/>
          <w:numId w:val="1002"/>
        </w:numPr>
      </w:pPr>
      <w:r>
        <w:t xml:space="preserve">Approved items are placed on the social calendar. The calendar is reviewed at the quarterly social calendar review meeting, chaired by Brand and Communications, with Marketing Communications, Product Marketing, People Operations, and the Legal Department attending. The meeting confirms the coming quarter’s themes, retires channels that are no longer used, and reviews the prior quarter’s performance against the engagement targets.</w:t>
      </w:r>
    </w:p>
    <w:p>
      <w:pPr>
        <w:pStyle w:val="Compact"/>
        <w:numPr>
          <w:ilvl w:val="0"/>
          <w:numId w:val="1002"/>
        </w:numPr>
      </w:pPr>
      <w:r>
        <w:t xml:space="preserve">Time-sensitive posts that cannot wait for the next calendar cycle may be published with the approval of the Vice President, Brand and Communications, and are added to the calendar record after the fact.</w:t>
      </w:r>
    </w:p>
    <w:p>
      <w:pPr>
        <w:pStyle w:val="Compact"/>
        <w:numPr>
          <w:ilvl w:val="0"/>
          <w:numId w:val="1002"/>
        </w:numPr>
      </w:pPr>
      <w:r>
        <w:t xml:space="preserve">Every published item is archived with its approvals in the content archive, in accordance with ADI-POL-001 (Data Retention Policy).</w:t>
      </w:r>
    </w:p>
    <w:bookmarkEnd w:id="15"/>
    <w:bookmarkStart w:id="16" w:name="employee-advocacy-program"/>
    <w:p>
      <w:pPr>
        <w:pStyle w:val="Heading2"/>
      </w:pPr>
      <w:r>
        <w:rPr>
          <w:rStyle w:val="SectionNumber"/>
        </w:rPr>
        <w:t xml:space="preserve">1.8</w:t>
      </w:r>
      <w:r>
        <w:tab/>
      </w:r>
      <w:r>
        <w:t xml:space="preserve">7. Employee Advocacy Program</w:t>
      </w:r>
    </w:p>
    <w:p>
      <w:pPr>
        <w:pStyle w:val="FirstParagraph"/>
      </w:pPr>
      <w:r>
        <w:t xml:space="preserve">The employee advocacy program gives employees prepared content they can share from their own accounts. Participation is voluntary and can be ended at any time.</w:t>
      </w:r>
    </w:p>
    <w:p>
      <w:pPr>
        <w:pStyle w:val="Compact"/>
        <w:numPr>
          <w:ilvl w:val="0"/>
          <w:numId w:val="1003"/>
        </w:numPr>
      </w:pPr>
      <w:r>
        <w:rPr>
          <w:b/>
          <w:bCs/>
        </w:rPr>
        <w:t xml:space="preserve">Tier 1, Advocates.</w:t>
      </w:r>
      <w:r>
        <w:t xml:space="preserve"> </w:t>
      </w:r>
      <w:r>
        <w:t xml:space="preserve">Any employee may enroll. Advocates receive a monthly digest of approved posts and links to corporate blog articles, and share the content as provided. Advocates do not modify approved copy beyond a brief personal introduction.</w:t>
      </w:r>
    </w:p>
    <w:p>
      <w:pPr>
        <w:pStyle w:val="Compact"/>
        <w:numPr>
          <w:ilvl w:val="0"/>
          <w:numId w:val="1003"/>
        </w:numPr>
      </w:pPr>
      <w:r>
        <w:rPr>
          <w:b/>
          <w:bCs/>
        </w:rPr>
        <w:t xml:space="preserve">Tier 2, Contributors.</w:t>
      </w:r>
      <w:r>
        <w:t xml:space="preserve"> </w:t>
      </w:r>
      <w:r>
        <w:t xml:space="preserve">Employees nominated by their manager and briefed by Marketing Communications. Contributors may write their own posts on subjects within their expertise, submitted through the intake form for a light-touch review before publication.</w:t>
      </w:r>
    </w:p>
    <w:p>
      <w:pPr>
        <w:pStyle w:val="Compact"/>
        <w:numPr>
          <w:ilvl w:val="0"/>
          <w:numId w:val="1003"/>
        </w:numPr>
      </w:pPr>
      <w:r>
        <w:rPr>
          <w:b/>
          <w:bCs/>
        </w:rPr>
        <w:t xml:space="preserve">Tier 3, Ambassadors.</w:t>
      </w:r>
      <w:r>
        <w:t xml:space="preserve"> </w:t>
      </w:r>
      <w:r>
        <w:t xml:space="preserve">A named group approved by the Vice President, Brand and Communications, typically including executives, principal engineers, and field leaders. Ambassadors have standing approval to post within agreed subject areas, receive quarterly messaging briefings, and are supported by ghostwritten drafts on request.</w:t>
      </w:r>
    </w:p>
    <w:p>
      <w:pPr>
        <w:pStyle w:val="Compact"/>
        <w:numPr>
          <w:ilvl w:val="0"/>
          <w:numId w:val="1003"/>
        </w:numPr>
      </w:pPr>
      <w:r>
        <w:t xml:space="preserve">Advocacy participation is not evaluated in performance reviews, and declining to participate carries no consequence.</w:t>
      </w:r>
    </w:p>
    <w:bookmarkEnd w:id="16"/>
    <w:bookmarkStart w:id="17" w:name="personal-use-of-social-media"/>
    <w:p>
      <w:pPr>
        <w:pStyle w:val="Heading2"/>
      </w:pPr>
      <w:r>
        <w:rPr>
          <w:rStyle w:val="SectionNumber"/>
        </w:rPr>
        <w:t xml:space="preserve">1.9</w:t>
      </w:r>
      <w:r>
        <w:tab/>
      </w:r>
      <w:r>
        <w:t xml:space="preserve">8. Personal Use of Social Media</w:t>
      </w:r>
    </w:p>
    <w:p>
      <w:pPr>
        <w:pStyle w:val="Compact"/>
        <w:numPr>
          <w:ilvl w:val="0"/>
          <w:numId w:val="1004"/>
        </w:numPr>
      </w:pPr>
      <w:r>
        <w:t xml:space="preserve">Employees who identify their employer on a personal account should make clear that their views are their own. A short disclosure such as</w:t>
      </w:r>
      <w:r>
        <w:t xml:space="preserve"> </w:t>
      </w:r>
      <w:r>
        <w:t xml:space="preserve">“views my own”</w:t>
      </w:r>
      <w:r>
        <w:t xml:space="preserve"> </w:t>
      </w:r>
      <w:r>
        <w:t xml:space="preserve">in the profile is sufficient.</w:t>
      </w:r>
    </w:p>
    <w:p>
      <w:pPr>
        <w:pStyle w:val="Compact"/>
        <w:numPr>
          <w:ilvl w:val="0"/>
          <w:numId w:val="1004"/>
        </w:numPr>
      </w:pPr>
      <w:r>
        <w:t xml:space="preserve">Employees must not disclose confidential or non-public information, including unreleased features, roadmap detail, pricing, customer names, headcount plans, financial results, or anything learned in the course of employment that has not been publicly announced.</w:t>
      </w:r>
    </w:p>
    <w:p>
      <w:pPr>
        <w:pStyle w:val="Compact"/>
        <w:numPr>
          <w:ilvl w:val="0"/>
          <w:numId w:val="1004"/>
        </w:numPr>
      </w:pPr>
      <w:r>
        <w:t xml:space="preserve">Employees must not speak for the Company, respond to press inquiries, or comment publicly on litigation, investigations, security incidents, or pending transactions. Media inquiries are forwarded to comms@atticusdundee.example.</w:t>
      </w:r>
    </w:p>
    <w:p>
      <w:pPr>
        <w:pStyle w:val="Compact"/>
        <w:numPr>
          <w:ilvl w:val="0"/>
          <w:numId w:val="1004"/>
        </w:numPr>
      </w:pPr>
      <w:r>
        <w:t xml:space="preserve">Where an employee posts about a Company product and their employment is not obvious from the context, the employment relationship must be disclosed, so that the post is not a hidden endorsement.</w:t>
      </w:r>
    </w:p>
    <w:p>
      <w:pPr>
        <w:pStyle w:val="Compact"/>
        <w:numPr>
          <w:ilvl w:val="0"/>
          <w:numId w:val="1004"/>
        </w:numPr>
      </w:pPr>
      <w:r>
        <w:t xml:space="preserve">Employees must not use Company logos or brand assets on personal accounts in a way that suggests the account is official.</w:t>
      </w:r>
    </w:p>
    <w:p>
      <w:pPr>
        <w:pStyle w:val="Compact"/>
        <w:numPr>
          <w:ilvl w:val="0"/>
          <w:numId w:val="1004"/>
        </w:numPr>
      </w:pPr>
      <w:r>
        <w:t xml:space="preserve">Nothing in this policy restricts an employee’s right to discuss wages, hours, or working conditions, or otherwise to engage in activity protected by law.</w:t>
      </w:r>
    </w:p>
    <w:bookmarkEnd w:id="17"/>
    <w:bookmarkStart w:id="18" w:name="responding-to-comments-and-escalation"/>
    <w:p>
      <w:pPr>
        <w:pStyle w:val="Heading2"/>
      </w:pPr>
      <w:r>
        <w:rPr>
          <w:rStyle w:val="SectionNumber"/>
        </w:rPr>
        <w:t xml:space="preserve">1.10</w:t>
      </w:r>
      <w:r>
        <w:tab/>
      </w:r>
      <w:r>
        <w:t xml:space="preserve">9. Responding to Comments and Escalation</w:t>
      </w:r>
    </w:p>
    <w:p>
      <w:pPr>
        <w:pStyle w:val="Compact"/>
        <w:numPr>
          <w:ilvl w:val="0"/>
          <w:numId w:val="1005"/>
        </w:numPr>
      </w:pPr>
      <w:r>
        <w:t xml:space="preserve">Employees should not respond on behalf of the Company to complaints, negative commentary, or product criticism posted publicly. Route the item to comms@atticusdundee.example, which triages with Support and Product.</w:t>
      </w:r>
    </w:p>
    <w:p>
      <w:pPr>
        <w:pStyle w:val="Compact"/>
        <w:numPr>
          <w:ilvl w:val="0"/>
          <w:numId w:val="1005"/>
        </w:numPr>
      </w:pPr>
      <w:r>
        <w:t xml:space="preserve">Customer support issues raised on social channels are transferred to the support queue with a short public acknowledgment posted by Brand and Communications.</w:t>
      </w:r>
    </w:p>
    <w:p>
      <w:pPr>
        <w:pStyle w:val="Compact"/>
        <w:numPr>
          <w:ilvl w:val="0"/>
          <w:numId w:val="1005"/>
        </w:numPr>
      </w:pPr>
      <w:r>
        <w:t xml:space="preserve">Content that appears to involve a security concern, a legal threat, or a regulator is escalated immediately to the Legal Department and is not answered publicly.</w:t>
      </w:r>
    </w:p>
    <w:p>
      <w:pPr>
        <w:pStyle w:val="Compact"/>
        <w:numPr>
          <w:ilvl w:val="0"/>
          <w:numId w:val="1005"/>
        </w:numPr>
      </w:pPr>
      <w:r>
        <w:t xml:space="preserve">Employees should not delete a published Company post without the approval of Brand and Communications. Corrections are issued rather than removals, except where the content is unlawful or discloses confidential information.</w:t>
      </w:r>
    </w:p>
    <w:bookmarkEnd w:id="18"/>
    <w:bookmarkStart w:id="19" w:name="exceptions"/>
    <w:p>
      <w:pPr>
        <w:pStyle w:val="Heading2"/>
      </w:pPr>
      <w:r>
        <w:rPr>
          <w:rStyle w:val="SectionNumber"/>
        </w:rPr>
        <w:t xml:space="preserve">1.11</w:t>
      </w:r>
      <w:r>
        <w:tab/>
      </w:r>
      <w:r>
        <w:t xml:space="preserve">10. Exceptions</w:t>
      </w:r>
    </w:p>
    <w:p>
      <w:pPr>
        <w:pStyle w:val="FirstParagraph"/>
      </w:pPr>
      <w:r>
        <w:t xml:space="preserve">Exceptions require the written approval of the Vice President, Brand and Communications, and, where legal risk is involved, of the General Counsel. Requests are submitted to comms@atticusdundee.example with the business justification and the requested duration.</w:t>
      </w:r>
    </w:p>
    <w:bookmarkEnd w:id="19"/>
    <w:bookmarkStart w:id="20" w:name="enforcement"/>
    <w:p>
      <w:pPr>
        <w:pStyle w:val="Heading2"/>
      </w:pPr>
      <w:r>
        <w:rPr>
          <w:rStyle w:val="SectionNumber"/>
        </w:rPr>
        <w:t xml:space="preserve">1.12</w:t>
      </w:r>
      <w:r>
        <w:tab/>
      </w:r>
      <w:r>
        <w:t xml:space="preserve">11. Enforcement</w:t>
      </w:r>
    </w:p>
    <w:p>
      <w:pPr>
        <w:pStyle w:val="FirstParagraph"/>
      </w:pPr>
      <w:r>
        <w:t xml:space="preserve">Violations, including unauthorized channel creation, disclosure of confidential information, or unauthorized statements on behalf of the Company, may result in removal of channel access, removal from the advocacy program, and disciplinary action up to and including termination of employment.</w:t>
      </w:r>
    </w:p>
    <w:bookmarkEnd w:id="20"/>
    <w:bookmarkStart w:id="21" w:name="related-documents"/>
    <w:p>
      <w:pPr>
        <w:pStyle w:val="Heading2"/>
      </w:pPr>
      <w:r>
        <w:rPr>
          <w:rStyle w:val="SectionNumber"/>
        </w:rPr>
        <w:t xml:space="preserve">1.13</w:t>
      </w:r>
      <w:r>
        <w:tab/>
      </w:r>
      <w:r>
        <w:t xml:space="preserve">12. Related Documents</w:t>
      </w:r>
    </w:p>
    <w:p>
      <w:pPr>
        <w:pStyle w:val="Compact"/>
        <w:numPr>
          <w:ilvl w:val="0"/>
          <w:numId w:val="1006"/>
        </w:numPr>
      </w:pPr>
      <w:r>
        <w:t xml:space="preserve">ADI-POL-001, Data Retention Policy</w:t>
      </w:r>
    </w:p>
    <w:p>
      <w:pPr>
        <w:pStyle w:val="Compact"/>
        <w:numPr>
          <w:ilvl w:val="0"/>
          <w:numId w:val="1006"/>
        </w:numPr>
      </w:pPr>
      <w:r>
        <w:t xml:space="preserve">ADI-POL-003, Acceptable Use Policy</w:t>
      </w:r>
    </w:p>
    <w:p>
      <w:pPr>
        <w:pStyle w:val="Compact"/>
        <w:numPr>
          <w:ilvl w:val="0"/>
          <w:numId w:val="1006"/>
        </w:numPr>
      </w:pPr>
      <w:r>
        <w:t xml:space="preserve">ADI-HR-001, Employee Handbook</w:t>
      </w:r>
    </w:p>
    <w:p>
      <w:pPr>
        <w:pStyle w:val="Compact"/>
        <w:numPr>
          <w:ilvl w:val="0"/>
          <w:numId w:val="1006"/>
        </w:numPr>
      </w:pPr>
      <w:r>
        <w:t xml:space="preserve">Brand Guidelines (Brand and Communications intranet)</w:t>
      </w:r>
    </w:p>
    <w:p>
      <w:pPr>
        <w:pStyle w:val="Compact"/>
        <w:numPr>
          <w:ilvl w:val="0"/>
          <w:numId w:val="1006"/>
        </w:numPr>
      </w:pPr>
      <w:r>
        <w:t xml:space="preserve">Media Inquiry Procedure (Brand and Communications intranet)</w:t>
      </w:r>
    </w:p>
    <w:bookmarkEnd w:id="21"/>
    <w:bookmarkStart w:id="22" w:name="version-history"/>
    <w:p>
      <w:pPr>
        <w:pStyle w:val="Heading2"/>
      </w:pPr>
      <w:r>
        <w:rPr>
          <w:rStyle w:val="SectionNumber"/>
        </w:rPr>
        <w:t xml:space="preserve">1.14</w:t>
      </w:r>
      <w:r>
        <w:tab/>
      </w: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2020-06-15</w:t>
            </w:r>
          </w:p>
        </w:tc>
        <w:tc>
          <w:tcPr/>
          <w:p>
            <w:pPr>
              <w:pStyle w:val="Compact"/>
            </w:pPr>
            <w:r>
              <w:t xml:space="preserve">Initial policy issued.</w:t>
            </w:r>
          </w:p>
        </w:tc>
        <w:tc>
          <w:tcPr/>
          <w:p>
            <w:pPr>
              <w:pStyle w:val="Compact"/>
            </w:pPr>
            <w:r>
              <w:t xml:space="preserve">Priya Raghunathan</w:t>
            </w:r>
          </w:p>
        </w:tc>
      </w:tr>
      <w:tr>
        <w:tc>
          <w:tcPr/>
          <w:p>
            <w:pPr>
              <w:pStyle w:val="Compact"/>
            </w:pPr>
            <w:r>
              <w:t xml:space="preserve">1.1</w:t>
            </w:r>
          </w:p>
        </w:tc>
        <w:tc>
          <w:tcPr/>
          <w:p>
            <w:pPr>
              <w:pStyle w:val="Compact"/>
            </w:pPr>
            <w:r>
              <w:t xml:space="preserve">2021-09-20</w:t>
            </w:r>
          </w:p>
        </w:tc>
        <w:tc>
          <w:tcPr/>
          <w:p>
            <w:pPr>
              <w:pStyle w:val="Compact"/>
            </w:pPr>
            <w:r>
              <w:t xml:space="preserve">Added channel register, verification handling, and escalation routing.</w:t>
            </w:r>
          </w:p>
        </w:tc>
        <w:tc>
          <w:tcPr/>
          <w:p>
            <w:pPr>
              <w:pStyle w:val="Compact"/>
            </w:pPr>
            <w:r>
              <w:t xml:space="preserve">Priya Raghunathan</w:t>
            </w:r>
          </w:p>
        </w:tc>
      </w:tr>
      <w:tr>
        <w:tc>
          <w:tcPr/>
          <w:p>
            <w:pPr>
              <w:pStyle w:val="Compact"/>
            </w:pPr>
            <w:r>
              <w:t xml:space="preserve">1.2</w:t>
            </w:r>
          </w:p>
        </w:tc>
        <w:tc>
          <w:tcPr/>
          <w:p>
            <w:pPr>
              <w:pStyle w:val="Compact"/>
            </w:pPr>
            <w:r>
              <w:t xml:space="preserve">2022-11-04</w:t>
            </w:r>
          </w:p>
        </w:tc>
        <w:tc>
          <w:tcPr/>
          <w:p>
            <w:pPr>
              <w:pStyle w:val="Compact"/>
            </w:pPr>
            <w:r>
              <w:t xml:space="preserve">Added employee advocacy program tiers; moved content approval to the Marketing Communications intake form; established the quarterly social calendar review meeting.</w:t>
            </w:r>
          </w:p>
        </w:tc>
        <w:tc>
          <w:tcPr/>
          <w:p>
            <w:pPr>
              <w:pStyle w:val="Compact"/>
            </w:pPr>
            <w:r>
              <w:t xml:space="preserve">Priya Raghunathan</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