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utual-non-disclosure-agreement"/>
    <w:p>
      <w:pPr>
        <w:pStyle w:val="Heading1"/>
      </w:pPr>
      <w:r>
        <w:rPr>
          <w:rStyle w:val="SectionNumber"/>
        </w:rPr>
        <w:t xml:space="preserve">1</w:t>
      </w:r>
      <w:r>
        <w:tab/>
      </w:r>
      <w:r>
        <w:t xml:space="preserve">Mutual Non-Disclosure Agreement</w:t>
      </w:r>
    </w:p>
    <w:p>
      <w:pPr>
        <w:pStyle w:val="FirstParagraph"/>
      </w:pPr>
      <w:r>
        <w:t xml:space="preserve">This Mutual Non-Disclosure Agreement (this</w:t>
      </w:r>
      <w:r>
        <w:t xml:space="preserve"> </w:t>
      </w:r>
      <w:r>
        <w:t xml:space="preserve">“</w:t>
      </w:r>
      <w:r>
        <w:rPr>
          <w:b/>
          <w:bCs/>
        </w:rPr>
        <w:t xml:space="preserve">Agreement</w:t>
      </w:r>
      <w:r>
        <w:t xml:space="preserve">”</w:t>
      </w:r>
      <w:r>
        <w:t xml:space="preserve">) is entered into as of March 5,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Atticus Dundee Inc.</w:t>
      </w:r>
      <w:r>
        <w:t xml:space="preserve">, a Delaware corporation with its principal place of business at 1450 Halverson Quay, Suite 600, Wilmington, Delaware 19801; and</w:t>
      </w:r>
    </w:p>
    <w:p>
      <w:pPr>
        <w:pStyle w:val="BodyText"/>
      </w:pPr>
      <w:r>
        <w:rPr>
          <w:b/>
          <w:bCs/>
        </w:rPr>
        <w:t xml:space="preserve">Brightquarry Analytics, Inc.</w:t>
      </w:r>
      <w:r>
        <w:t xml:space="preserve">, a Delaware corporation with its principal place of business at 45 Harrowgate Street, 12th Floor, New York, New York 10018.</w:t>
      </w:r>
    </w:p>
    <w:p>
      <w:pPr>
        <w:pStyle w:val="BodyText"/>
      </w:pPr>
      <w:r>
        <w:t xml:space="preserve">Each of the above is referred to as a</w:t>
      </w:r>
      <w:r>
        <w:t xml:space="preserve"> </w:t>
      </w:r>
      <w:r>
        <w:t xml:space="preserve">“</w:t>
      </w:r>
      <w:r>
        <w:rPr>
          <w:b/>
          <w:bCs/>
        </w:rPr>
        <w:t xml:space="preserve">Party</w:t>
      </w:r>
      <w:r>
        <w:t xml:space="preserve">”</w:t>
      </w:r>
      <w:r>
        <w:t xml:space="preserve"> </w:t>
      </w:r>
      <w:r>
        <w:t xml:space="preserve">and together as the</w:t>
      </w:r>
      <w:r>
        <w:t xml:space="preserve"> </w:t>
      </w:r>
      <w:r>
        <w:t xml:space="preserve">“</w:t>
      </w:r>
      <w:r>
        <w:rPr>
          <w:b/>
          <w:bCs/>
        </w:rPr>
        <w:t xml:space="preserve">Parties</w:t>
      </w:r>
      <w:r>
        <w:t xml:space="preserve">.”</w:t>
      </w:r>
      <w:r>
        <w:t xml:space="preserve"> </w:t>
      </w:r>
      <w:r>
        <w:t xml:space="preserve">In relation to any particular item of Confidential Information, the Party disclosing it (including through its Representatives) is the</w:t>
      </w:r>
      <w:r>
        <w:t xml:space="preserve"> </w:t>
      </w:r>
      <w:r>
        <w:t xml:space="preserve">“</w:t>
      </w:r>
      <w:r>
        <w:rPr>
          <w:b/>
          <w:bCs/>
        </w:rPr>
        <w:t xml:space="preserve">Disclosing Party</w:t>
      </w:r>
      <w:r>
        <w:t xml:space="preserve">”</w:t>
      </w:r>
      <w:r>
        <w:t xml:space="preserve"> </w:t>
      </w:r>
      <w:r>
        <w:t xml:space="preserve">and the Party receiving it is the</w:t>
      </w:r>
      <w:r>
        <w:t xml:space="preserve"> </w:t>
      </w:r>
      <w:r>
        <w:t xml:space="preserve">“</w:t>
      </w:r>
      <w:r>
        <w:rPr>
          <w:b/>
          <w:bCs/>
        </w:rPr>
        <w:t xml:space="preserve">Receiving Party</w:t>
      </w:r>
      <w:r>
        <w:t xml:space="preserve">.”</w:t>
      </w:r>
    </w:p>
    <w:bookmarkStart w:id="9" w:name="recitals"/>
    <w:p>
      <w:pPr>
        <w:pStyle w:val="Heading2"/>
      </w:pPr>
      <w:r>
        <w:rPr>
          <w:rStyle w:val="SectionNumber"/>
        </w:rPr>
        <w:t xml:space="preserve">1.1</w:t>
      </w:r>
      <w:r>
        <w:tab/>
      </w:r>
      <w:r>
        <w:t xml:space="preserve">Recitals</w:t>
      </w:r>
    </w:p>
    <w:p>
      <w:pPr>
        <w:pStyle w:val="FirstParagraph"/>
      </w:pPr>
      <w:r>
        <w:rPr>
          <w:b/>
          <w:bCs/>
        </w:rPr>
        <w:t xml:space="preserve">A.</w:t>
      </w:r>
      <w:r>
        <w:t xml:space="preserve"> </w:t>
      </w:r>
      <w:r>
        <w:t xml:space="preserve">The Parties wish to explore a potential enterprise subscription and data-integration arrangement with an anticipated annual contract value of approximately two million dollars ($2,000,000) (the</w:t>
      </w:r>
      <w:r>
        <w:t xml:space="preserve"> </w:t>
      </w:r>
      <w:r>
        <w:t xml:space="preserve">“</w:t>
      </w:r>
      <w:r>
        <w:rPr>
          <w:b/>
          <w:bCs/>
        </w:rPr>
        <w:t xml:space="preserve">Purpose</w:t>
      </w:r>
      <w:r>
        <w:t xml:space="preserve">”</w:t>
      </w:r>
      <w:r>
        <w:t xml:space="preserve">).</w:t>
      </w:r>
    </w:p>
    <w:p>
      <w:pPr>
        <w:pStyle w:val="BodyText"/>
      </w:pPr>
      <w:r>
        <w:rPr>
          <w:b/>
          <w:bCs/>
        </w:rPr>
        <w:t xml:space="preserve">B.</w:t>
      </w:r>
      <w:r>
        <w:t xml:space="preserve"> </w:t>
      </w:r>
      <w:r>
        <w:t xml:space="preserve">In connection with the Purpose, each Party may disclose to the other certain non-public information relating to its business, technology, products, customers, and plans.</w:t>
      </w:r>
    </w:p>
    <w:p>
      <w:pPr>
        <w:pStyle w:val="BodyText"/>
      </w:pPr>
      <w:r>
        <w:rPr>
          <w:b/>
          <w:bCs/>
        </w:rPr>
        <w:t xml:space="preserve">C.</w:t>
      </w:r>
      <w:r>
        <w:t xml:space="preserve"> </w:t>
      </w:r>
      <w:r>
        <w:t xml:space="preserve">The Parties wish to set out the terms on which that information will be protected.</w:t>
      </w:r>
    </w:p>
    <w:p>
      <w:pPr>
        <w:pStyle w:val="BodyText"/>
      </w:pPr>
      <w:r>
        <w:rPr>
          <w:b/>
          <w:bCs/>
        </w:rPr>
        <w:t xml:space="preserve">NOW, THEREFORE</w:t>
      </w:r>
      <w:r>
        <w:t xml:space="preserve">, in consideration of the mutual promises set out below, the Parties agree as follows.</w:t>
      </w:r>
    </w:p>
    <w:bookmarkEnd w:id="9"/>
    <w:bookmarkStart w:id="10" w:name="confidential-information"/>
    <w:p>
      <w:pPr>
        <w:pStyle w:val="Heading2"/>
      </w:pPr>
      <w:r>
        <w:rPr>
          <w:rStyle w:val="SectionNumber"/>
        </w:rPr>
        <w:t xml:space="preserve">1.2</w:t>
      </w:r>
      <w:r>
        <w:tab/>
      </w:r>
      <w:r>
        <w:t xml:space="preserve">1. Confidential Information</w:t>
      </w:r>
    </w:p>
    <w:p>
      <w:pPr>
        <w:pStyle w:val="FirstParagraph"/>
      </w:pPr>
      <w:r>
        <w:rPr>
          <w:b/>
          <w:bCs/>
        </w:rPr>
        <w:t xml:space="preserve">1.1 Definition.</w:t>
      </w:r>
      <w:r>
        <w:t xml:space="preserve"> </w:t>
      </w:r>
      <w:r>
        <w:t xml:space="preserve">“</w:t>
      </w:r>
      <w:r>
        <w:rPr>
          <w:b/>
          <w:bCs/>
        </w:rPr>
        <w:t xml:space="preserve">Confidential Information</w:t>
      </w:r>
      <w:r>
        <w:t xml:space="preserve">”</w:t>
      </w:r>
      <w:r>
        <w:t xml:space="preserve"> </w:t>
      </w:r>
      <w:r>
        <w:t xml:space="preserve">means any non-public information disclosed by or on behalf of the Disclosing Party to the Receiving Party, whether before or after the Effective Date, in any form (written, oral, visual, electronic, or by demonstration or inspection of tangible objects), that is either (a) marked or otherwise identified as confidential or proprietary at the time of disclosure, or (b) of a nature that a reasonable person would understand to be confidential given the information itself and the circumstances of disclosure.</w:t>
      </w:r>
    </w:p>
    <w:p>
      <w:pPr>
        <w:pStyle w:val="BodyText"/>
      </w:pPr>
      <w:r>
        <w:rPr>
          <w:b/>
          <w:bCs/>
        </w:rPr>
        <w:t xml:space="preserve">1.2 Examples.</w:t>
      </w:r>
      <w:r>
        <w:t xml:space="preserve"> </w:t>
      </w:r>
      <w:r>
        <w:t xml:space="preserve">Confidential Information includes, without limitation: product roadmaps, architecture and design documents, source code and object code, algorithms and models, technical specifications, security documentation, unreleased features, research and development plans, pricing and discount structures, cost and margin data, financial statements and forecasts, business and marketing plans, customer and prospect lists, supplier and partner terms, personnel information, and the existence, status, and content of the discussions between the Parties concerning the Purpose.</w:t>
      </w:r>
    </w:p>
    <w:p>
      <w:pPr>
        <w:pStyle w:val="BodyText"/>
      </w:pPr>
      <w:r>
        <w:rPr>
          <w:b/>
          <w:bCs/>
        </w:rPr>
        <w:t xml:space="preserve">1.3 No Marking Requirement.</w:t>
      </w:r>
      <w:r>
        <w:t xml:space="preserve"> </w:t>
      </w:r>
      <w:r>
        <w:t xml:space="preserve">Information disclosed orally or visually is Confidential Information whether or not it is later reduced to writing or designated as confidential in a follow-up communication. Neither Party is required to summarize or confirm oral disclosures in writing as a condition of protection under this Agreement.</w:t>
      </w:r>
    </w:p>
    <w:p>
      <w:pPr>
        <w:pStyle w:val="BodyText"/>
      </w:pPr>
      <w:r>
        <w:rPr>
          <w:b/>
          <w:bCs/>
        </w:rPr>
        <w:t xml:space="preserve">1.4 Representatives.</w:t>
      </w:r>
      <w:r>
        <w:t xml:space="preserve"> </w:t>
      </w:r>
      <w:r>
        <w:t xml:space="preserve">“</w:t>
      </w:r>
      <w:r>
        <w:rPr>
          <w:b/>
          <w:bCs/>
        </w:rPr>
        <w:t xml:space="preserve">Representatives</w:t>
      </w:r>
      <w:r>
        <w:t xml:space="preserve">”</w:t>
      </w:r>
      <w:r>
        <w:t xml:space="preserve"> </w:t>
      </w:r>
      <w:r>
        <w:t xml:space="preserve">means, in respect of a Party, its Affiliates and its and their respective directors, officers, employees, contractors, and professional advisors.</w:t>
      </w:r>
      <w:r>
        <w:t xml:space="preserve"> </w:t>
      </w:r>
      <w:r>
        <w:t xml:space="preserve">“</w:t>
      </w:r>
      <w:r>
        <w:rPr>
          <w:b/>
          <w:bCs/>
        </w:rPr>
        <w:t xml:space="preserve">Affiliate</w:t>
      </w:r>
      <w:r>
        <w:t xml:space="preserve">”</w:t>
      </w:r>
      <w:r>
        <w:t xml:space="preserve"> </w:t>
      </w:r>
      <w:r>
        <w:t xml:space="preserve">means any entity that directly or indirectly controls, is controlled by, or is under common control with a Party, where</w:t>
      </w:r>
      <w:r>
        <w:t xml:space="preserve"> </w:t>
      </w:r>
      <w:r>
        <w:t xml:space="preserve">“control”</w:t>
      </w:r>
      <w:r>
        <w:t xml:space="preserve"> </w:t>
      </w:r>
      <w:r>
        <w:t xml:space="preserve">means ownership of more than fifty percent (50%) of the voting interests of that entity.</w:t>
      </w:r>
    </w:p>
    <w:bookmarkEnd w:id="10"/>
    <w:bookmarkStart w:id="11" w:name="exclusions"/>
    <w:p>
      <w:pPr>
        <w:pStyle w:val="Heading2"/>
      </w:pPr>
      <w:r>
        <w:rPr>
          <w:rStyle w:val="SectionNumber"/>
        </w:rPr>
        <w:t xml:space="preserve">1.3</w:t>
      </w:r>
      <w:r>
        <w:tab/>
      </w:r>
      <w:r>
        <w:t xml:space="preserve">2. Exclusions</w:t>
      </w:r>
    </w:p>
    <w:p>
      <w:pPr>
        <w:pStyle w:val="FirstParagraph"/>
      </w:pPr>
      <w:r>
        <w:t xml:space="preserve">Confidential Information does not include information that the Receiving Party can demonstrate by competent written evidence:</w:t>
      </w:r>
    </w:p>
    <w:p>
      <w:pPr>
        <w:numPr>
          <w:ilvl w:val="0"/>
          <w:numId w:val="1001"/>
        </w:numPr>
      </w:pPr>
      <w:r>
        <w:t xml:space="preserve">is or becomes generally available to the public other than as a result of a breach of this Agreement by the Receiving Party or its Representatives;</w:t>
      </w:r>
    </w:p>
    <w:p>
      <w:pPr>
        <w:numPr>
          <w:ilvl w:val="0"/>
          <w:numId w:val="1001"/>
        </w:numPr>
      </w:pPr>
      <w:r>
        <w:t xml:space="preserve">was rightfully known to the Receiving Party, free of any obligation of confidentiality, before its disclosure by the Disclosing Party;</w:t>
      </w:r>
    </w:p>
    <w:p>
      <w:pPr>
        <w:numPr>
          <w:ilvl w:val="0"/>
          <w:numId w:val="1001"/>
        </w:numPr>
      </w:pPr>
      <w:r>
        <w:t xml:space="preserve">is rightfully received by the Receiving Party from a third party who is not, to the Receiving Party’s knowledge, under any obligation of confidentiality to the Disclosing Party in respect of that information; or</w:t>
      </w:r>
    </w:p>
    <w:p>
      <w:pPr>
        <w:numPr>
          <w:ilvl w:val="0"/>
          <w:numId w:val="1001"/>
        </w:numPr>
      </w:pPr>
      <w:r>
        <w:t xml:space="preserve">is independently developed by or for the Receiving Party without use of, reference to, or reliance on the Disclosing Party’s Confidential Information.</w:t>
      </w:r>
    </w:p>
    <w:p>
      <w:pPr>
        <w:pStyle w:val="FirstParagraph"/>
      </w:pPr>
      <w:r>
        <w:t xml:space="preserve">Any combination of features or information is not within the exclusions in this Section 2 merely because individual features or items are, unless the combination itself and its principle of operation are within one of those exclusions.</w:t>
      </w:r>
    </w:p>
    <w:bookmarkEnd w:id="11"/>
    <w:bookmarkStart w:id="12" w:name="obligations-of-the-receiving-party"/>
    <w:p>
      <w:pPr>
        <w:pStyle w:val="Heading2"/>
      </w:pPr>
      <w:r>
        <w:rPr>
          <w:rStyle w:val="SectionNumber"/>
        </w:rPr>
        <w:t xml:space="preserve">1.4</w:t>
      </w:r>
      <w:r>
        <w:tab/>
      </w:r>
      <w:r>
        <w:t xml:space="preserve">3. Obligations of the Receiving Party</w:t>
      </w:r>
    </w:p>
    <w:p>
      <w:pPr>
        <w:pStyle w:val="FirstParagraph"/>
      </w:pPr>
      <w:r>
        <w:rPr>
          <w:b/>
          <w:bCs/>
        </w:rPr>
        <w:t xml:space="preserve">3.1 Use Restriction.</w:t>
      </w:r>
      <w:r>
        <w:t xml:space="preserve"> </w:t>
      </w:r>
      <w:r>
        <w:t xml:space="preserve">The Receiving Party will use the Disclosing Party’s Confidential Information solely for the Purpose and for no other purpose. Without limiting the foregoing, the Receiving Party will not use the Disclosing Party’s Confidential Information to compete with the Disclosing Party, to solicit the Disclosing Party’s customers, or in the development of any product or service.</w:t>
      </w:r>
    </w:p>
    <w:p>
      <w:pPr>
        <w:pStyle w:val="BodyText"/>
      </w:pPr>
      <w:r>
        <w:rPr>
          <w:b/>
          <w:bCs/>
        </w:rPr>
        <w:t xml:space="preserve">3.2 Non-Disclosure.</w:t>
      </w:r>
      <w:r>
        <w:t xml:space="preserve"> </w:t>
      </w:r>
      <w:r>
        <w:t xml:space="preserve">The Receiving Party will not disclose the Disclosing Party’s Confidential Information to any person other than those of its Representatives who (a) need to know it for the Purpose, (b) have been informed of its confidential nature, and (c) are bound by written or professional obligations of confidentiality no less protective than this Agreement. The Receiving Party is responsible for any breach of this Agreement by its Representatives as if it were its own breach.</w:t>
      </w:r>
    </w:p>
    <w:p>
      <w:pPr>
        <w:pStyle w:val="BodyText"/>
      </w:pPr>
      <w:r>
        <w:rPr>
          <w:b/>
          <w:bCs/>
        </w:rPr>
        <w:t xml:space="preserve">3.3 Standard of Care.</w:t>
      </w:r>
      <w:r>
        <w:t xml:space="preserve"> </w:t>
      </w:r>
      <w:r>
        <w:t xml:space="preserve">The Receiving Party will protect the Disclosing Party’s Confidential Information using at least the same degree of care that it uses to protect its own confidential information of similar importance, and in no event less than a reasonable degree of care.</w:t>
      </w:r>
    </w:p>
    <w:p>
      <w:pPr>
        <w:pStyle w:val="BodyText"/>
      </w:pPr>
      <w:r>
        <w:rPr>
          <w:b/>
          <w:bCs/>
        </w:rPr>
        <w:t xml:space="preserve">3.4 No Reverse Engineering.</w:t>
      </w:r>
      <w:r>
        <w:t xml:space="preserve"> </w:t>
      </w:r>
      <w:r>
        <w:t xml:space="preserve">The Receiving Party will not reverse engineer, decompile, disassemble, or otherwise attempt to derive the source code, structure, or underlying ideas of any prototype, software, sample, or other tangible object provided by the Disclosing Party, except to the extent that restriction is unenforceable under applicable law.</w:t>
      </w:r>
    </w:p>
    <w:p>
      <w:pPr>
        <w:pStyle w:val="BodyText"/>
      </w:pPr>
      <w:r>
        <w:rPr>
          <w:b/>
          <w:bCs/>
        </w:rPr>
        <w:t xml:space="preserve">3.5 Copies.</w:t>
      </w:r>
      <w:r>
        <w:t xml:space="preserve"> </w:t>
      </w:r>
      <w:r>
        <w:t xml:space="preserve">The Receiving Party will not copy the Disclosing Party’s Confidential Information except as reasonably necessary for the Purpose, and will reproduce all proprietary notices on any copy it makes.</w:t>
      </w:r>
    </w:p>
    <w:p>
      <w:pPr>
        <w:pStyle w:val="BodyText"/>
      </w:pPr>
      <w:r>
        <w:rPr>
          <w:b/>
          <w:bCs/>
        </w:rPr>
        <w:t xml:space="preserve">3.6 Notice of Unauthorized Use.</w:t>
      </w:r>
      <w:r>
        <w:t xml:space="preserve"> </w:t>
      </w:r>
      <w:r>
        <w:t xml:space="preserve">The Receiving Party will notify the Disclosing Party promptly in writing on becoming aware of any unauthorized use or disclosure of the Disclosing Party’s Confidential Information and will cooperate reasonably with the Disclosing Party to regain possession of it and to prevent further unauthorized use or disclosure.</w:t>
      </w:r>
    </w:p>
    <w:bookmarkEnd w:id="12"/>
    <w:bookmarkStart w:id="13" w:name="compelled-disclosure"/>
    <w:p>
      <w:pPr>
        <w:pStyle w:val="Heading2"/>
      </w:pPr>
      <w:r>
        <w:rPr>
          <w:rStyle w:val="SectionNumber"/>
        </w:rPr>
        <w:t xml:space="preserve">1.5</w:t>
      </w:r>
      <w:r>
        <w:tab/>
      </w:r>
      <w:r>
        <w:t xml:space="preserve">4. Compelled Disclosure</w:t>
      </w:r>
    </w:p>
    <w:p>
      <w:pPr>
        <w:pStyle w:val="FirstParagraph"/>
      </w:pPr>
      <w:r>
        <w:t xml:space="preserve">If the Receiving Party or any of its Representatives is required by applicable law, regulation, subpoena, civil investigative demand, or order of a court or governmental or regulatory authority to disclose any of the Disclosing Party’s Confidential Information, the Receiving Party may disclose it to the extent so required, provided that, unless prohibited by law, the Receiving Party (a) gives the Disclosing Party prompt written notice so that the Disclosing Party may seek a protective order or other appropriate remedy, (b) cooperates reasonably with the Disclosing Party’s efforts to obtain that remedy at the Disclosing Party’s expense, and (c) discloses only that portion of the Confidential Information that it is legally required to disclose. Confidential Information disclosed under this Section 4 remains Confidential Information for all other purposes.</w:t>
      </w:r>
    </w:p>
    <w:bookmarkEnd w:id="13"/>
    <w:bookmarkStart w:id="14" w:name="residual-knowledge"/>
    <w:p>
      <w:pPr>
        <w:pStyle w:val="Heading2"/>
      </w:pPr>
      <w:r>
        <w:rPr>
          <w:rStyle w:val="SectionNumber"/>
        </w:rPr>
        <w:t xml:space="preserve">1.6</w:t>
      </w:r>
      <w:r>
        <w:tab/>
      </w:r>
      <w:r>
        <w:t xml:space="preserve">5. Residual Knowledge</w:t>
      </w:r>
    </w:p>
    <w:p>
      <w:pPr>
        <w:pStyle w:val="FirstParagraph"/>
      </w:pPr>
      <w:r>
        <w:t xml:space="preserve">Nothing in this Agreement restricts either Party from using Residuals for any purpose, including use in the development, manufacture, marketing, and support of its own products and services, provided that this Section 5 does not grant either Party a license under the other Party’s patents or copyrights and does not authorize the use or disclosure of any Confidential Information in tangible form.</w:t>
      </w:r>
      <w:r>
        <w:t xml:space="preserve"> </w:t>
      </w:r>
      <w:r>
        <w:t xml:space="preserve">“</w:t>
      </w:r>
      <w:r>
        <w:rPr>
          <w:b/>
          <w:bCs/>
        </w:rPr>
        <w:t xml:space="preserve">Residuals</w:t>
      </w:r>
      <w:r>
        <w:t xml:space="preserve">”</w:t>
      </w:r>
      <w:r>
        <w:t xml:space="preserve"> </w:t>
      </w:r>
      <w:r>
        <w:t xml:space="preserve">means information in intangible form that is retained in the unaided memory of an individual Representative of the Receiving Party who has had authorized access to the Disclosing Party’s Confidential Information under this Agreement, where that individual has not intentionally memorized the information for the purpose of retaining and using it outside the Purpose. An individual’s memory is unaided if the individual has not consulted any Confidential Information in tangible or electronic form in connection with the use in question.</w:t>
      </w:r>
    </w:p>
    <w:bookmarkEnd w:id="14"/>
    <w:bookmarkStart w:id="15" w:name="term-and-survival"/>
    <w:p>
      <w:pPr>
        <w:pStyle w:val="Heading2"/>
      </w:pPr>
      <w:r>
        <w:rPr>
          <w:rStyle w:val="SectionNumber"/>
        </w:rPr>
        <w:t xml:space="preserve">1.7</w:t>
      </w:r>
      <w:r>
        <w:tab/>
      </w:r>
      <w:r>
        <w:t xml:space="preserve">6. Term and Survival</w:t>
      </w:r>
    </w:p>
    <w:p>
      <w:pPr>
        <w:pStyle w:val="FirstParagraph"/>
      </w:pPr>
      <w:r>
        <w:rPr>
          <w:b/>
          <w:bCs/>
        </w:rPr>
        <w:t xml:space="preserve">6.1 Term.</w:t>
      </w:r>
      <w:r>
        <w:t xml:space="preserve"> </w:t>
      </w:r>
      <w:r>
        <w:t xml:space="preserve">This Agreement begins on the Effective Date and continues for three (3) years, unless earlier terminated by either Party on thirty (30) days’ prior written notice to the other Party.</w:t>
      </w:r>
    </w:p>
    <w:p>
      <w:pPr>
        <w:pStyle w:val="BodyText"/>
      </w:pPr>
      <w:r>
        <w:rPr>
          <w:b/>
          <w:bCs/>
        </w:rPr>
        <w:t xml:space="preserve">6.2 Survival of Obligations.</w:t>
      </w:r>
      <w:r>
        <w:t xml:space="preserve"> </w:t>
      </w:r>
      <w:r>
        <w:t xml:space="preserve">The obligations in Sections 3, 4, 5, 7, 9, 10, and 11 continue in perpetuity in respect of Confidential Information disclosed during the term of this Agreement, and are not limited to any fixed period following the expiration or termination of this Agreement.</w:t>
      </w:r>
    </w:p>
    <w:p>
      <w:pPr>
        <w:pStyle w:val="BodyText"/>
      </w:pPr>
      <w:r>
        <w:rPr>
          <w:b/>
          <w:bCs/>
        </w:rPr>
        <w:t xml:space="preserve">6.3 Trade Secrets.</w:t>
      </w:r>
      <w:r>
        <w:t xml:space="preserve"> </w:t>
      </w:r>
      <w:r>
        <w:t xml:space="preserve">For the avoidance of doubt, the perpetual obligation in Section 6.2 applies in addition to, and not in substitution for, the protection afforded to Confidential Information that constitutes a trade secret under applicable law.</w:t>
      </w:r>
    </w:p>
    <w:p>
      <w:pPr>
        <w:pStyle w:val="BodyText"/>
      </w:pPr>
      <w:r>
        <w:rPr>
          <w:b/>
          <w:bCs/>
        </w:rPr>
        <w:t xml:space="preserve">6.4 Effect of Expiration.</w:t>
      </w:r>
      <w:r>
        <w:t xml:space="preserve"> </w:t>
      </w:r>
      <w:r>
        <w:t xml:space="preserve">Expiration or termination of this Agreement does not affect any right or obligation that accrued before that expiration or termination.</w:t>
      </w:r>
    </w:p>
    <w:bookmarkEnd w:id="15"/>
    <w:bookmarkStart w:id="16" w:name="return-or-destruction"/>
    <w:p>
      <w:pPr>
        <w:pStyle w:val="Heading2"/>
      </w:pPr>
      <w:r>
        <w:rPr>
          <w:rStyle w:val="SectionNumber"/>
        </w:rPr>
        <w:t xml:space="preserve">1.8</w:t>
      </w:r>
      <w:r>
        <w:tab/>
      </w:r>
      <w:r>
        <w:t xml:space="preserve">7. Return or Destruction</w:t>
      </w:r>
    </w:p>
    <w:p>
      <w:pPr>
        <w:pStyle w:val="FirstParagraph"/>
      </w:pPr>
      <w:r>
        <w:t xml:space="preserve">On the Disclosing Party’s written request at any time, or in any event within ten (10) days after the expiration or termination of this Agreement, the Receiving Party will, at the Disclosing Party’s election, return or destroy all Confidential Information of the Disclosing Party in its possession or control, including all copies, notes, analyses, and derivative materials, and will confirm that return or destruction in writing signed by an authorized representative. The Receiving Party may retain (a) one archival copy of the Confidential Information solely for the purpose of determining its obligations under this Agreement, held by its legal department or outside counsel, and (b) copies created by routine automated backup or archival systems that cannot reasonably be deleted individually, in each case subject to the continuing obligations of this Agreement for so long as those copies are retained.</w:t>
      </w:r>
    </w:p>
    <w:bookmarkEnd w:id="16"/>
    <w:bookmarkStart w:id="17" w:name="no-license-no-warranty-no-obligation"/>
    <w:p>
      <w:pPr>
        <w:pStyle w:val="Heading2"/>
      </w:pPr>
      <w:r>
        <w:rPr>
          <w:rStyle w:val="SectionNumber"/>
        </w:rPr>
        <w:t xml:space="preserve">1.9</w:t>
      </w:r>
      <w:r>
        <w:tab/>
      </w:r>
      <w:r>
        <w:t xml:space="preserve">8. No License, No Warranty, No Obligation</w:t>
      </w:r>
    </w:p>
    <w:p>
      <w:pPr>
        <w:pStyle w:val="FirstParagraph"/>
      </w:pPr>
      <w:r>
        <w:rPr>
          <w:b/>
          <w:bCs/>
        </w:rPr>
        <w:t xml:space="preserve">8.1 No License.</w:t>
      </w:r>
      <w:r>
        <w:t xml:space="preserve"> </w:t>
      </w:r>
      <w:r>
        <w:t xml:space="preserve">All Confidential Information remains the property of the Disclosing Party. Nothing in this Agreement grants the Receiving Party any license or other right under any patent, copyright, trademark, trade secret, or other intellectual property right, whether by implication, estoppel, or otherwise.</w:t>
      </w:r>
    </w:p>
    <w:p>
      <w:pPr>
        <w:pStyle w:val="BodyText"/>
      </w:pPr>
      <w:r>
        <w:rPr>
          <w:b/>
          <w:bCs/>
        </w:rPr>
        <w:t xml:space="preserve">8.2 No Warranty.</w:t>
      </w:r>
      <w:r>
        <w:t xml:space="preserve"> </w:t>
      </w:r>
      <w:r>
        <w:t xml:space="preserve">All Confidential Information is provided</w:t>
      </w:r>
      <w:r>
        <w:t xml:space="preserve"> </w:t>
      </w:r>
      <w:r>
        <w:t xml:space="preserve">“as is.”</w:t>
      </w:r>
      <w:r>
        <w:t xml:space="preserve"> </w:t>
      </w:r>
      <w:r>
        <w:t xml:space="preserve">Neither Party makes any representation or warranty as to the accuracy or completeness of any Confidential Information it discloses, and neither Party will have any liability to the other resulting from the other’s reliance on Confidential Information, except as expressly provided in a definitive written agreement between the Parties if one is later executed.</w:t>
      </w:r>
    </w:p>
    <w:p>
      <w:pPr>
        <w:pStyle w:val="BodyText"/>
      </w:pPr>
      <w:r>
        <w:rPr>
          <w:b/>
          <w:bCs/>
        </w:rPr>
        <w:t xml:space="preserve">8.3 No Obligation to Proceed.</w:t>
      </w:r>
      <w:r>
        <w:t xml:space="preserve"> </w:t>
      </w:r>
      <w:r>
        <w:t xml:space="preserve">Nothing in this Agreement obligates either Party to disclose any particular information, to proceed with the Purpose, or to enter into any further agreement. Either Party may terminate discussions concerning the Purpose at any time.</w:t>
      </w:r>
    </w:p>
    <w:p>
      <w:pPr>
        <w:pStyle w:val="BodyText"/>
      </w:pPr>
      <w:r>
        <w:rPr>
          <w:b/>
          <w:bCs/>
        </w:rPr>
        <w:t xml:space="preserve">8.4 No Exclusivity.</w:t>
      </w:r>
      <w:r>
        <w:t xml:space="preserve"> </w:t>
      </w:r>
      <w:r>
        <w:t xml:space="preserve">Nothing in this Agreement restricts either Party from entering into discussions or agreements with any third party, including a competitor of the other Party, provided it does so without breaching Section 3.</w:t>
      </w:r>
    </w:p>
    <w:bookmarkEnd w:id="17"/>
    <w:bookmarkStart w:id="18" w:name="non-solicitation"/>
    <w:p>
      <w:pPr>
        <w:pStyle w:val="Heading2"/>
      </w:pPr>
      <w:r>
        <w:rPr>
          <w:rStyle w:val="SectionNumber"/>
        </w:rPr>
        <w:t xml:space="preserve">1.10</w:t>
      </w:r>
      <w:r>
        <w:tab/>
      </w:r>
      <w:r>
        <w:t xml:space="preserve">9. Non-Solicitation</w:t>
      </w:r>
    </w:p>
    <w:p>
      <w:pPr>
        <w:pStyle w:val="FirstParagraph"/>
      </w:pPr>
      <w:r>
        <w:t xml:space="preserve">For a period of twenty-four (24) months following the Effective Date, neither Party will directly or indirectly solicit for employment or engagement any employee of the other Party with whom that Party first had contact in connection with the Purpose, or about whom it first learned through the other Party’s Confidential Information. This Section 9 does not restrict (a) general solicitations of employment not specifically directed at those employees, including advertisements, job postings, and searches conducted by a recruiting firm that is not directed to target those employees, (b) the hiring of any person who responds to a general solicitation of that kind, or (c) the hiring of any person who approaches a Party on that person’s own initiative without prior solicitation.</w:t>
      </w:r>
    </w:p>
    <w:bookmarkEnd w:id="18"/>
    <w:bookmarkStart w:id="19" w:name="remedies"/>
    <w:p>
      <w:pPr>
        <w:pStyle w:val="Heading2"/>
      </w:pPr>
      <w:r>
        <w:rPr>
          <w:rStyle w:val="SectionNumber"/>
        </w:rPr>
        <w:t xml:space="preserve">1.11</w:t>
      </w:r>
      <w:r>
        <w:tab/>
      </w:r>
      <w:r>
        <w:t xml:space="preserve">10. Remedies</w:t>
      </w:r>
    </w:p>
    <w:p>
      <w:pPr>
        <w:pStyle w:val="FirstParagraph"/>
      </w:pPr>
      <w:r>
        <w:rPr>
          <w:b/>
          <w:bCs/>
        </w:rPr>
        <w:t xml:space="preserve">10.1 Injunctive Relief.</w:t>
      </w:r>
      <w:r>
        <w:t xml:space="preserve"> </w:t>
      </w:r>
      <w:r>
        <w:t xml:space="preserve">Each Party acknowledges that a breach or threatened breach of this Agreement may cause the other Party irreparable harm for which monetary damages would be an inadequate remedy. Accordingly, in the event of a breach or threatened breach, the Disclosing Party is entitled to seek specific performance, injunctive relief, or other equitable relief from any court of competent jurisdiction, without the necessity of posting a bond or other security and without proving actual damages, in addition to any other remedy available at law or in equity.</w:t>
      </w:r>
    </w:p>
    <w:p>
      <w:pPr>
        <w:pStyle w:val="BodyText"/>
      </w:pPr>
      <w:r>
        <w:rPr>
          <w:b/>
          <w:bCs/>
        </w:rPr>
        <w:t xml:space="preserve">10.2 Cumulative Remedies.</w:t>
      </w:r>
      <w:r>
        <w:t xml:space="preserve"> </w:t>
      </w:r>
      <w:r>
        <w:t xml:space="preserve">The remedies in this Section 10 are cumulative and are in addition to, and not in substitution for, any other remedy available to a Party at law or in equity.</w:t>
      </w:r>
    </w:p>
    <w:p>
      <w:pPr>
        <w:pStyle w:val="BodyText"/>
      </w:pPr>
      <w:r>
        <w:rPr>
          <w:b/>
          <w:bCs/>
        </w:rPr>
        <w:t xml:space="preserve">10.3 Costs.</w:t>
      </w:r>
      <w:r>
        <w:t xml:space="preserve"> </w:t>
      </w:r>
      <w:r>
        <w:t xml:space="preserve">In any action to enforce this Agreement, the prevailing Party is entitled to recover its reasonable attorneys’ fees and costs.</w:t>
      </w:r>
    </w:p>
    <w:bookmarkEnd w:id="19"/>
    <w:bookmarkStart w:id="20" w:name="X17534142a602d607c268a8652379093a0791790"/>
    <w:p>
      <w:pPr>
        <w:pStyle w:val="Heading2"/>
      </w:pPr>
      <w:r>
        <w:rPr>
          <w:rStyle w:val="SectionNumber"/>
        </w:rPr>
        <w:t xml:space="preserve">1.12</w:t>
      </w:r>
      <w:r>
        <w:tab/>
      </w:r>
      <w:r>
        <w:t xml:space="preserve">11. Notice of Immunity Under the Defend Trade Secrets Act</w:t>
      </w:r>
    </w:p>
    <w:p>
      <w:pPr>
        <w:pStyle w:val="FirstParagraph"/>
      </w:pPr>
      <w:r>
        <w:t xml:space="preserve">Notwithstanding anything to the contrary in this Agreement, and in accordance with 18 U.S.C. § 1833(b), an individual will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that filing is made under seal. An individual who files a lawsuit for retaliation by an employer for reporting a suspected violation of law may disclose the trade secret to the attorney of that individual and use the trade secret information in the court proceeding, provided that the individual files any document containing the trade secret under seal and does not disclose the trade secret except pursuant to court order.</w:t>
      </w:r>
    </w:p>
    <w:bookmarkEnd w:id="20"/>
    <w:bookmarkStart w:id="21" w:name="notices"/>
    <w:p>
      <w:pPr>
        <w:pStyle w:val="Heading2"/>
      </w:pPr>
      <w:r>
        <w:rPr>
          <w:rStyle w:val="SectionNumber"/>
        </w:rPr>
        <w:t xml:space="preserve">1.13</w:t>
      </w:r>
      <w:r>
        <w:tab/>
      </w:r>
      <w:r>
        <w:t xml:space="preserve">12. Notices</w:t>
      </w:r>
    </w:p>
    <w:p>
      <w:pPr>
        <w:pStyle w:val="FirstParagraph"/>
      </w:pPr>
      <w:r>
        <w:t xml:space="preserve">All notices under this Agreement must be in writing and are effective on personal delivery, one (1) business day after dispatch by a nationally recognized overnight courier with tracking, or three (3) business days after deposit in the U.S. mail, certified or registered, return receipt requested, in each case addressed as follows:</w:t>
      </w:r>
    </w:p>
    <w:p>
      <w:pPr>
        <w:pStyle w:val="BodyText"/>
      </w:pPr>
      <w:r>
        <w:rPr>
          <w:b/>
          <w:bCs/>
        </w:rPr>
        <w:t xml:space="preserve">If to Atticus Dundee Inc.:</w:t>
      </w:r>
      <w:r>
        <w:t xml:space="preserve"> </w:t>
      </w:r>
      <w:r>
        <w:t xml:space="preserve">1450 Halverson Quay, Suite 600, Wilmington, Delaware 19801</w:t>
      </w:r>
      <w:r>
        <w:t xml:space="preserve"> </w:t>
      </w:r>
      <w:r>
        <w:t xml:space="preserve">Attention: General Counsel</w:t>
      </w:r>
      <w:r>
        <w:t xml:space="preserve"> </w:t>
      </w:r>
      <w:r>
        <w:t xml:space="preserve">Email: legalnotices@atticusdundee.example</w:t>
      </w:r>
    </w:p>
    <w:p>
      <w:pPr>
        <w:pStyle w:val="BodyText"/>
      </w:pPr>
      <w:r>
        <w:rPr>
          <w:b/>
          <w:bCs/>
        </w:rPr>
        <w:t xml:space="preserve">If to Brightquarry Analytics, Inc.:</w:t>
      </w:r>
      <w:r>
        <w:t xml:space="preserve"> </w:t>
      </w:r>
      <w:r>
        <w:t xml:space="preserve">45 Harrowgate Street, 12th Floor, New York, New York 10018</w:t>
      </w:r>
      <w:r>
        <w:t xml:space="preserve"> </w:t>
      </w:r>
      <w:r>
        <w:t xml:space="preserve">Attention: General Counsel</w:t>
      </w:r>
      <w:r>
        <w:t xml:space="preserve"> </w:t>
      </w:r>
      <w:r>
        <w:t xml:space="preserve">Email: legal@brightquarry.example</w:t>
      </w:r>
    </w:p>
    <w:p>
      <w:pPr>
        <w:pStyle w:val="BodyText"/>
      </w:pPr>
      <w:r>
        <w:t xml:space="preserve">Either Party may change its notice address by written notice given in accordance with this Section 12.</w:t>
      </w:r>
    </w:p>
    <w:bookmarkEnd w:id="21"/>
    <w:bookmarkStart w:id="22" w:name="governing-law-and-venue"/>
    <w:p>
      <w:pPr>
        <w:pStyle w:val="Heading2"/>
      </w:pPr>
      <w:r>
        <w:rPr>
          <w:rStyle w:val="SectionNumber"/>
        </w:rPr>
        <w:t xml:space="preserve">1.14</w:t>
      </w:r>
      <w:r>
        <w:tab/>
      </w:r>
      <w:r>
        <w:t xml:space="preserve">13. Governing Law and Venue</w:t>
      </w:r>
    </w:p>
    <w:p>
      <w:pPr>
        <w:pStyle w:val="FirstParagraph"/>
      </w:pPr>
      <w:r>
        <w:t xml:space="preserve">This Agreement is governed by and construed in accordance with the laws of the State of New York, without regard to its conflict-of-laws principles. Each Party irrevocably submits to the exclusive jurisdiction of the state and federal courts located in New York County, New York for any action arising out of or relating to this Agreement, and waives any objection to venue in those courts, except that either Party may seek injunctive relief under Section 10.1 in any court of competent jurisdiction.</w:t>
      </w:r>
    </w:p>
    <w:bookmarkEnd w:id="22"/>
    <w:bookmarkStart w:id="23" w:name="general-provisions"/>
    <w:p>
      <w:pPr>
        <w:pStyle w:val="Heading2"/>
      </w:pPr>
      <w:r>
        <w:rPr>
          <w:rStyle w:val="SectionNumber"/>
        </w:rPr>
        <w:t xml:space="preserve">1.15</w:t>
      </w:r>
      <w:r>
        <w:tab/>
      </w:r>
      <w:r>
        <w:t xml:space="preserve">14. General Provisions</w:t>
      </w:r>
    </w:p>
    <w:p>
      <w:pPr>
        <w:pStyle w:val="FirstParagraph"/>
      </w:pPr>
      <w:r>
        <w:rPr>
          <w:b/>
          <w:bCs/>
        </w:rPr>
        <w:t xml:space="preserve">14.1 Entire Agreement.</w:t>
      </w:r>
      <w:r>
        <w:t xml:space="preserve"> </w:t>
      </w:r>
      <w:r>
        <w:t xml:space="preserve">This Agreement is the entire agreement between the Parties concerning the protection of Confidential Information disclosed in connection with the Purpose and supersedes all prior or contemporaneous understandings on that subject, whether written or oral.</w:t>
      </w:r>
    </w:p>
    <w:p>
      <w:pPr>
        <w:pStyle w:val="BodyText"/>
      </w:pPr>
      <w:r>
        <w:rPr>
          <w:b/>
          <w:bCs/>
        </w:rPr>
        <w:t xml:space="preserve">14.2 Amendment and Waiver.</w:t>
      </w:r>
      <w:r>
        <w:t xml:space="preserve"> </w:t>
      </w:r>
      <w:r>
        <w:t xml:space="preserve">No amendment or waiver of any provision of this Agreement is effective unless in writing and signed by an authorized representative of each Party. Failure to enforce any provision is not a waiver of that provision or of any other provision.</w:t>
      </w:r>
    </w:p>
    <w:p>
      <w:pPr>
        <w:pStyle w:val="BodyText"/>
      </w:pPr>
      <w:r>
        <w:rPr>
          <w:b/>
          <w:bCs/>
        </w:rPr>
        <w:t xml:space="preserve">14.3 Assignment.</w:t>
      </w:r>
      <w:r>
        <w:t xml:space="preserve"> </w:t>
      </w:r>
      <w:r>
        <w:t xml:space="preserve">Neither Party may assign this Agreement without the other Party’s prior written consent, except that either Party may assign it in its entirety, without consent, to a successor in connection with a merger, reorganization, or sale of all or substantially all of its assets or equity, on written notice to the other Party. Any attempted assignment in violation of this Section 14.3 is void.</w:t>
      </w:r>
    </w:p>
    <w:p>
      <w:pPr>
        <w:pStyle w:val="BodyText"/>
      </w:pPr>
      <w:r>
        <w:rPr>
          <w:b/>
          <w:bCs/>
        </w:rPr>
        <w:t xml:space="preserve">14.4 Severability.</w:t>
      </w:r>
      <w:r>
        <w:t xml:space="preserve"> </w:t>
      </w:r>
      <w:r>
        <w:t xml:space="preserve">If any provision of this Agreement is held to be unenforceable, that provision will be modified to the minimum extent necessary to make it enforceable, and the remaining provisions remain in full force and effect.</w:t>
      </w:r>
    </w:p>
    <w:p>
      <w:pPr>
        <w:pStyle w:val="BodyText"/>
      </w:pPr>
      <w:r>
        <w:rPr>
          <w:b/>
          <w:bCs/>
        </w:rPr>
        <w:t xml:space="preserve">14.5 No Partnership.</w:t>
      </w:r>
      <w:r>
        <w:t xml:space="preserve"> </w:t>
      </w:r>
      <w:r>
        <w:t xml:space="preserve">Nothing in this Agreement creates a partnership, joint venture, agency, or employment relationship between the Parties.</w:t>
      </w:r>
    </w:p>
    <w:p>
      <w:pPr>
        <w:pStyle w:val="BodyText"/>
      </w:pPr>
      <w:r>
        <w:rPr>
          <w:b/>
          <w:bCs/>
        </w:rPr>
        <w:t xml:space="preserve">14.6 Export Control.</w:t>
      </w:r>
      <w:r>
        <w:t xml:space="preserve"> </w:t>
      </w:r>
      <w:r>
        <w:t xml:space="preserve">Each Party will comply with all applicable United States export control and economic sanctions laws in connection with any Confidential Information it receives.</w:t>
      </w:r>
    </w:p>
    <w:p>
      <w:pPr>
        <w:pStyle w:val="BodyText"/>
      </w:pPr>
      <w:r>
        <w:rPr>
          <w:b/>
          <w:bCs/>
        </w:rPr>
        <w:t xml:space="preserve">14.7 Counterparts and Electronic Signature.</w:t>
      </w:r>
      <w:r>
        <w:t xml:space="preserve"> </w:t>
      </w:r>
      <w:r>
        <w:t xml:space="preserve">This Agreement may be executed in counterparts, each of which is an original and all of which together constitute one instrument. Signatures delivered electronically, including through an electronic signature platform, have the same effect as original signatures.</w:t>
      </w:r>
    </w:p>
    <w:p>
      <w:pPr>
        <w:pStyle w:val="BodyText"/>
      </w:pPr>
      <w:r>
        <w:rPr>
          <w:b/>
          <w:bCs/>
        </w:rPr>
        <w:t xml:space="preserve">14.8 Headings.</w:t>
      </w:r>
      <w:r>
        <w:t xml:space="preserve"> </w:t>
      </w:r>
      <w:r>
        <w:t xml:space="preserve">Section headings are for convenience only and do not affect the interpretation of this Agreement.</w:t>
      </w:r>
    </w:p>
    <w:bookmarkEnd w:id="23"/>
    <w:bookmarkStart w:id="24" w:name="signature-page"/>
    <w:p>
      <w:pPr>
        <w:pStyle w:val="Heading2"/>
      </w:pPr>
      <w:r>
        <w:rPr>
          <w:rStyle w:val="SectionNumber"/>
        </w:rPr>
        <w:t xml:space="preserve">1.16</w:t>
      </w:r>
      <w:r>
        <w:tab/>
      </w:r>
      <w:r>
        <w:t xml:space="preserve">Signature Page</w:t>
      </w:r>
    </w:p>
    <w:p>
      <w:pPr>
        <w:pStyle w:val="FirstParagraph"/>
      </w:pPr>
      <w:r>
        <w:rPr>
          <w:b/>
          <w:bCs/>
        </w:rPr>
        <w:t xml:space="preserve">IN WITNESS WHEREOF</w:t>
      </w:r>
      <w:r>
        <w:t xml:space="preserve">, the Parties have executed this Mutual Non-Disclosure Agreement as of the Effective Date.</w:t>
      </w:r>
    </w:p>
    <w:p>
      <w:pPr>
        <w:pStyle w:val="BodyText"/>
      </w:pPr>
      <w:r>
        <w:rPr>
          <w:b/>
          <w:bCs/>
        </w:rPr>
        <w:t xml:space="preserve">ATTICUS DUNDEE INC.</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p>
      <w:pPr>
        <w:pStyle w:val="BodyText"/>
      </w:pPr>
      <w:r>
        <w:t xml:space="preserve">Date: _______________________________</w:t>
      </w:r>
    </w:p>
    <w:p>
      <w:pPr>
        <w:pStyle w:val="BodyText"/>
      </w:pPr>
      <w:r>
        <w:rPr>
          <w:b/>
          <w:bCs/>
        </w:rPr>
        <w:t xml:space="preserve">BRIGHTQUARRY ANALYTICS, INC.</w:t>
      </w:r>
    </w:p>
    <w:p>
      <w:pPr>
        <w:pStyle w:val="BodyText"/>
      </w:pPr>
      <w:r>
        <w:t xml:space="preserve">By: _______________________________</w:t>
      </w:r>
    </w:p>
    <w:p>
      <w:pPr>
        <w:pStyle w:val="BodyText"/>
      </w:pPr>
      <w:r>
        <w:t xml:space="preserve">Name: Yolanda Pritchard-Naidoo</w:t>
      </w:r>
    </w:p>
    <w:p>
      <w:pPr>
        <w:pStyle w:val="BodyText"/>
      </w:pPr>
      <w:r>
        <w:t xml:space="preserve">Title: General Counsel</w:t>
      </w:r>
    </w:p>
    <w:p>
      <w:pPr>
        <w:pStyle w:val="BodyText"/>
      </w:pPr>
      <w:r>
        <w:t xml:space="preserve">Date: _______________________________</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2026-08-09T01:49:52Z</dcterms:created>
  <dcterms:modified xsi:type="dcterms:W3CDTF">2026-08-09T01:49:52Z</dcterms:modified>
</cp:coreProperties>
</file>

<file path=docProps/custom.xml><?xml version="1.0" encoding="utf-8"?>
<Properties xmlns="http://schemas.openxmlformats.org/officeDocument/2006/custom-properties" xmlns:vt="http://schemas.openxmlformats.org/officeDocument/2006/docPropsVTypes"/>
</file>