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utual-non-disclosure-agreement"/>
    <w:p>
      <w:pPr>
        <w:pStyle w:val="Heading1"/>
      </w:pPr>
      <w:r>
        <w:rPr>
          <w:rStyle w:val="SectionNumber"/>
        </w:rPr>
        <w:t xml:space="preserve">1</w:t>
      </w:r>
      <w:r>
        <w:tab/>
      </w:r>
      <w:r>
        <w:t xml:space="preserve">Mutual Non-Disclosure Agreement</w:t>
      </w:r>
    </w:p>
    <w:p>
      <w:pPr>
        <w:pStyle w:val="FirstParagraph"/>
      </w:pPr>
      <w:r>
        <w:t xml:space="preserve">This Mutual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and</w:t>
      </w:r>
    </w:p>
    <w:p>
      <w:pPr>
        <w:pStyle w:val="BodyText"/>
      </w:pPr>
      <w:r>
        <w:rPr>
          <w:b/>
          <w:bCs/>
        </w:rPr>
        <w:t xml:space="preserve">Veranda Labs, Inc.</w:t>
      </w:r>
      <w:r>
        <w:t xml:space="preserve">, a Delaware corporation with its principal place of business at 3600 Wexler Point, Building 4, San Mateo, California 94402.</w:t>
      </w:r>
    </w:p>
    <w:p>
      <w:pPr>
        <w:pStyle w:val="BodyText"/>
      </w:pPr>
      <w:r>
        <w:t xml:space="preserve">Each of the above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r>
        <w:t xml:space="preserve"> </w:t>
      </w:r>
      <w:r>
        <w:t xml:space="preserve">In relation to any particular item of Confidential Information, the Party disclosing it (including through its Representatives) is the</w:t>
      </w:r>
      <w:r>
        <w:t xml:space="preserve"> </w:t>
      </w:r>
      <w:r>
        <w:t xml:space="preserve">“</w:t>
      </w:r>
      <w:r>
        <w:rPr>
          <w:b/>
          <w:bCs/>
        </w:rPr>
        <w:t xml:space="preserve">Disclosing Party</w:t>
      </w:r>
      <w:r>
        <w:t xml:space="preserve">”</w:t>
      </w:r>
      <w:r>
        <w:t xml:space="preserve"> </w:t>
      </w:r>
      <w:r>
        <w:t xml:space="preserve">and the Party receiving it is the</w:t>
      </w:r>
      <w:r>
        <w:t xml:space="preserve"> </w:t>
      </w:r>
      <w:r>
        <w:t xml:space="preserve">“</w:t>
      </w:r>
      <w:r>
        <w:rPr>
          <w:b/>
          <w:bCs/>
        </w:rPr>
        <w:t xml:space="preserve">Receiving Party</w:t>
      </w:r>
      <w:r>
        <w:t xml:space="preserve">.”</w:t>
      </w:r>
    </w:p>
    <w:bookmarkStart w:id="9" w:name="recitals"/>
    <w:p>
      <w:pPr>
        <w:pStyle w:val="Heading2"/>
      </w:pPr>
      <w:r>
        <w:rPr>
          <w:rStyle w:val="SectionNumber"/>
        </w:rPr>
        <w:t xml:space="preserve">1.1</w:t>
      </w:r>
      <w:r>
        <w:tab/>
      </w:r>
      <w:r>
        <w:t xml:space="preserve">Recitals</w:t>
      </w:r>
    </w:p>
    <w:p>
      <w:pPr>
        <w:pStyle w:val="FirstParagraph"/>
      </w:pPr>
      <w:r>
        <w:rPr>
          <w:b/>
          <w:bCs/>
        </w:rPr>
        <w:t xml:space="preserve">A.</w:t>
      </w:r>
      <w:r>
        <w:t xml:space="preserve"> </w:t>
      </w:r>
      <w:r>
        <w:t xml:space="preserve">The Parties wish to explore a potential commercial relationship involving a product integration between their respective platforms and a possible reseller arrangement (the</w:t>
      </w:r>
      <w:r>
        <w:t xml:space="preserve"> </w:t>
      </w:r>
      <w:r>
        <w:t xml:space="preserve">“</w:t>
      </w:r>
      <w:r>
        <w:rPr>
          <w:b/>
          <w:bCs/>
        </w:rPr>
        <w:t xml:space="preserve">Purpose</w:t>
      </w:r>
      <w:r>
        <w:t xml:space="preserve">”</w:t>
      </w:r>
      <w:r>
        <w:t xml:space="preserve">).</w:t>
      </w:r>
    </w:p>
    <w:p>
      <w:pPr>
        <w:pStyle w:val="BodyText"/>
      </w:pPr>
      <w:r>
        <w:rPr>
          <w:b/>
          <w:bCs/>
        </w:rPr>
        <w:t xml:space="preserve">B.</w:t>
      </w:r>
      <w:r>
        <w:t xml:space="preserve"> </w:t>
      </w:r>
      <w:r>
        <w:t xml:space="preserve">In connection with the Purpose, each Party may disclose to the other certain non-public information relating to its business, technology, products, customers, and plans.</w:t>
      </w:r>
    </w:p>
    <w:p>
      <w:pPr>
        <w:pStyle w:val="BodyText"/>
      </w:pPr>
      <w:r>
        <w:rPr>
          <w:b/>
          <w:bCs/>
        </w:rPr>
        <w:t xml:space="preserve">C.</w:t>
      </w:r>
      <w:r>
        <w:t xml:space="preserve"> </w:t>
      </w:r>
      <w:r>
        <w:t xml:space="preserve">The Parties wish to set out the terms on which that information will be protected.</w:t>
      </w:r>
    </w:p>
    <w:p>
      <w:pPr>
        <w:pStyle w:val="BodyText"/>
      </w:pPr>
      <w:r>
        <w:rPr>
          <w:b/>
          <w:bCs/>
        </w:rPr>
        <w:t xml:space="preserve">NOW, THEREFORE</w:t>
      </w:r>
      <w:r>
        <w:t xml:space="preserve">, in consideration of the mutual promises set out below, the Parties agree as follows.</w:t>
      </w:r>
    </w:p>
    <w:bookmarkEnd w:id="9"/>
    <w:bookmarkStart w:id="10" w:name="confidential-information"/>
    <w:p>
      <w:pPr>
        <w:pStyle w:val="Heading2"/>
      </w:pPr>
      <w:r>
        <w:rPr>
          <w:rStyle w:val="SectionNumber"/>
        </w:rPr>
        <w:t xml:space="preserve">1.2</w:t>
      </w:r>
      <w:r>
        <w:tab/>
      </w: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Neither Party is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rPr>
          <w:rStyle w:val="SectionNumber"/>
        </w:rPr>
        <w:t xml:space="preserve">1.3</w:t>
      </w:r>
      <w:r>
        <w:tab/>
      </w: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rPr>
          <w:rStyle w:val="SectionNumber"/>
        </w:rPr>
        <w:t xml:space="preserve">1.4</w:t>
      </w:r>
      <w:r>
        <w:tab/>
      </w:r>
      <w:r>
        <w:t xml:space="preserve">3. Obligations of the Receiving Party</w:t>
      </w:r>
    </w:p>
    <w:p>
      <w:pPr>
        <w:pStyle w:val="FirstParagraph"/>
      </w:pPr>
      <w:r>
        <w:rPr>
          <w:b/>
          <w:bCs/>
        </w:rPr>
        <w:t xml:space="preserve">3.1 Use Restriction.</w:t>
      </w:r>
      <w:r>
        <w:t xml:space="preserve"> </w:t>
      </w:r>
      <w:r>
        <w:t xml:space="preserve">The Receiving Party will use the Disclosing Party’s Confidential Information solely for the Purpose and for no other purpose. Without limiting the foregoing, the Receiving Party will not use the Disclosing Party’s Confidential Information to compete with the Disclosing Party,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Disclosing Party’s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w:t>
      </w:r>
    </w:p>
    <w:p>
      <w:pPr>
        <w:pStyle w:val="BodyText"/>
      </w:pPr>
      <w:r>
        <w:rPr>
          <w:b/>
          <w:bCs/>
        </w:rPr>
        <w:t xml:space="preserve">3.3 Standard of Care.</w:t>
      </w:r>
      <w:r>
        <w:t xml:space="preserve"> </w:t>
      </w:r>
      <w:r>
        <w:t xml:space="preserve">The Receiving Party will protect the Disclosing Party’s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Disclosing Party’s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Disclosing Party’s Confidential Information and will cooperate reasonably with the Disclosing Party to regain possession of it and to prevent further unauthorized use or disclosure.</w:t>
      </w:r>
    </w:p>
    <w:bookmarkEnd w:id="12"/>
    <w:bookmarkStart w:id="13" w:name="compelled-disclosure"/>
    <w:p>
      <w:pPr>
        <w:pStyle w:val="Heading2"/>
      </w:pPr>
      <w:r>
        <w:rPr>
          <w:rStyle w:val="SectionNumber"/>
        </w:rPr>
        <w:t xml:space="preserve">1.5</w:t>
      </w:r>
      <w:r>
        <w:tab/>
      </w:r>
      <w:r>
        <w:t xml:space="preserve">4. Compelled Disclosure</w:t>
      </w:r>
    </w:p>
    <w:p>
      <w:pPr>
        <w:pStyle w:val="FirstParagraph"/>
      </w:pPr>
      <w:r>
        <w:t xml:space="preserve">If the Receiving Party or any of its Representatives is required by applicable law, regulation, subpoena, civil investigative demand, or order of a court or governmental or regulatory authority to disclose any of the Disclosing Party’s Confidential Information, the Receiving Party may disclose it to the extent so required, provided that, unless prohibited by law, the Receiving Party (a) gives the Disclosing Party prompt written notice so that the Disclosing Party may seek a protective order or other appropriate remedy, (b) cooperates reasonably with the Disclosing Party’s efforts to obtain that remedy at the Disclosing Party’s expense, and (c) discloses only that portion of the Confidential Information that it is legally required to disclose. Confidential Information disclosed under this Section 4 remains Confidential Information for all other purposes.</w:t>
      </w:r>
    </w:p>
    <w:bookmarkEnd w:id="13"/>
    <w:bookmarkStart w:id="14" w:name="residual-knowledge"/>
    <w:p>
      <w:pPr>
        <w:pStyle w:val="Heading2"/>
      </w:pPr>
      <w:r>
        <w:rPr>
          <w:rStyle w:val="SectionNumber"/>
        </w:rPr>
        <w:t xml:space="preserve">1.6</w:t>
      </w:r>
      <w:r>
        <w:tab/>
      </w:r>
      <w:r>
        <w:t xml:space="preserve">5. Residual Knowledge</w:t>
      </w:r>
    </w:p>
    <w:p>
      <w:pPr>
        <w:pStyle w:val="FirstParagraph"/>
      </w:pPr>
      <w:r>
        <w:t xml:space="preserve">Nothing in this Agreement restricts either Party from using Residuals for any purpose, including use in the development, manufacture, marketing, and support of its own products and services, provided that this Section 5 does not grant either Party a license under the other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Disclosing Party’s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4"/>
    <w:bookmarkStart w:id="15" w:name="term-and-survival"/>
    <w:p>
      <w:pPr>
        <w:pStyle w:val="Heading2"/>
      </w:pPr>
      <w:r>
        <w:rPr>
          <w:rStyle w:val="SectionNumber"/>
        </w:rPr>
        <w:t xml:space="preserve">1.7</w:t>
      </w:r>
      <w:r>
        <w:tab/>
      </w:r>
      <w:r>
        <w:t xml:space="preserve">6. Term and Survival</w:t>
      </w:r>
    </w:p>
    <w:p>
      <w:pPr>
        <w:pStyle w:val="FirstParagraph"/>
      </w:pPr>
      <w:r>
        <w:rPr>
          <w:b/>
          <w:bCs/>
        </w:rPr>
        <w:t xml:space="preserve">6.1 Term.</w:t>
      </w:r>
      <w:r>
        <w:t xml:space="preserve"> </w:t>
      </w:r>
      <w:r>
        <w:t xml:space="preserve">This Agreement begins on the Effective Date and continues for two (2)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respect of Confidential Information disclosed during the term of this Agreement for a period of three (3) years after the expiration or termination of this Agreement.</w:t>
      </w:r>
    </w:p>
    <w:p>
      <w:pPr>
        <w:pStyle w:val="BodyText"/>
      </w:pPr>
      <w:r>
        <w:rPr>
          <w:b/>
          <w:bCs/>
        </w:rPr>
        <w:t xml:space="preserve">6.3 Trade Secrets.</w:t>
      </w:r>
      <w:r>
        <w:t xml:space="preserve"> </w:t>
      </w:r>
      <w:r>
        <w:t xml:space="preserve">Notwithstanding Section 6.2, Confidential Information that constitutes a trade secret under applicable law remains protected under this Agreement for so long as it remains a trade secret under that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5"/>
    <w:bookmarkStart w:id="16" w:name="return-or-destruction"/>
    <w:p>
      <w:pPr>
        <w:pStyle w:val="Heading2"/>
      </w:pPr>
      <w:r>
        <w:rPr>
          <w:rStyle w:val="SectionNumber"/>
        </w:rPr>
        <w:t xml:space="preserve">1.8</w:t>
      </w:r>
      <w:r>
        <w:tab/>
      </w:r>
      <w:r>
        <w:t xml:space="preserve">7. Return or Destruction</w:t>
      </w:r>
    </w:p>
    <w:p>
      <w:pPr>
        <w:pStyle w:val="FirstParagraph"/>
      </w:pPr>
      <w:r>
        <w:t xml:space="preserve">On the Disclosing Party’s written request at any time, or in any event within thirty (30) days after the expiration or termination of this Agreement, the Receiving Party will, at the Disclosing Party’s election, return or destroy all Confidential Information of the Disclosing Party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6"/>
    <w:bookmarkStart w:id="17" w:name="no-license-no-warranty-no-obligation"/>
    <w:p>
      <w:pPr>
        <w:pStyle w:val="Heading2"/>
      </w:pPr>
      <w:r>
        <w:rPr>
          <w:rStyle w:val="SectionNumber"/>
        </w:rPr>
        <w:t xml:space="preserve">1.9</w:t>
      </w:r>
      <w:r>
        <w:tab/>
      </w: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any Confidential Information it discloses, and neither Party will have any liability to the other resulting from the other’s reliance on Confidential Information,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either Party to disclose any particular information, to proceed with the Purpose, or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either Party from entering into discussions or agreements with any third party, including a competitor of the other Party, provided it does so without breaching Section 3.</w:t>
      </w:r>
    </w:p>
    <w:bookmarkEnd w:id="17"/>
    <w:bookmarkStart w:id="18" w:name="non-solicitation"/>
    <w:p>
      <w:pPr>
        <w:pStyle w:val="Heading2"/>
      </w:pPr>
      <w:r>
        <w:rPr>
          <w:rStyle w:val="SectionNumber"/>
        </w:rPr>
        <w:t xml:space="preserve">1.10</w:t>
      </w:r>
      <w:r>
        <w:tab/>
      </w:r>
      <w:r>
        <w:t xml:space="preserve">9. Non-Solicitation</w:t>
      </w:r>
    </w:p>
    <w:p>
      <w:pPr>
        <w:pStyle w:val="FirstParagraph"/>
      </w:pPr>
      <w:r>
        <w:t xml:space="preserve">For a period of twenty-four (24) months following the Effective Date, neither Party will directly or indirectly solicit for employment or engagement any employee of the other Party with whom that Party first had contact in connection with the Purpose, or about whom it first learned through the other Party’s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a Party on that person’s own initiative without prior solicitation.</w:t>
      </w:r>
    </w:p>
    <w:bookmarkEnd w:id="18"/>
    <w:bookmarkStart w:id="19" w:name="remedies"/>
    <w:p>
      <w:pPr>
        <w:pStyle w:val="Heading2"/>
      </w:pPr>
      <w:r>
        <w:rPr>
          <w:rStyle w:val="SectionNumber"/>
        </w:rPr>
        <w:t xml:space="preserve">1.11</w:t>
      </w:r>
      <w:r>
        <w:tab/>
      </w:r>
      <w:r>
        <w:t xml:space="preserve">10. Remedies</w:t>
      </w:r>
    </w:p>
    <w:p>
      <w:pPr>
        <w:pStyle w:val="FirstParagraph"/>
      </w:pPr>
      <w:r>
        <w:rPr>
          <w:b/>
          <w:bCs/>
        </w:rPr>
        <w:t xml:space="preserve">10.1 Injunctive Relief.</w:t>
      </w:r>
      <w:r>
        <w:t xml:space="preserve"> </w:t>
      </w:r>
      <w:r>
        <w:t xml:space="preserve">Each Party acknowledges that a breach or threatened breach of this Agreement may cause the other Party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a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bookmarkEnd w:id="19"/>
    <w:bookmarkStart w:id="20" w:name="X17534142a602d607c268a8652379093a0791790"/>
    <w:p>
      <w:pPr>
        <w:pStyle w:val="Heading2"/>
      </w:pPr>
      <w:r>
        <w:rPr>
          <w:rStyle w:val="SectionNumber"/>
        </w:rPr>
        <w:t xml:space="preserve">1.12</w:t>
      </w:r>
      <w:r>
        <w:tab/>
      </w: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20"/>
    <w:bookmarkStart w:id="21" w:name="notices"/>
    <w:p>
      <w:pPr>
        <w:pStyle w:val="Heading2"/>
      </w:pPr>
      <w:r>
        <w:rPr>
          <w:rStyle w:val="SectionNumber"/>
        </w:rPr>
        <w:t xml:space="preserve">1.13</w:t>
      </w:r>
      <w:r>
        <w:tab/>
      </w: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Veranda Labs, Inc.:</w:t>
      </w:r>
      <w:r>
        <w:t xml:space="preserve"> </w:t>
      </w:r>
      <w:r>
        <w:t xml:space="preserve">3600 Wexler Point, Building 4, San Mateo, California 94402</w:t>
      </w:r>
      <w:r>
        <w:t xml:space="preserve"> </w:t>
      </w:r>
      <w:r>
        <w:t xml:space="preserve">Attention: Director, Corporate Development</w:t>
      </w:r>
      <w:r>
        <w:t xml:space="preserve"> </w:t>
      </w:r>
      <w:r>
        <w:t xml:space="preserve">Email: corpdev@verandalabs.example</w:t>
      </w:r>
    </w:p>
    <w:p>
      <w:pPr>
        <w:pStyle w:val="BodyText"/>
      </w:pPr>
      <w:r>
        <w:t xml:space="preserve">Either Party may change its notice address by written notice given in accordance with this Section 12.</w:t>
      </w:r>
    </w:p>
    <w:bookmarkEnd w:id="21"/>
    <w:bookmarkStart w:id="22" w:name="governing-law-and-venue"/>
    <w:p>
      <w:pPr>
        <w:pStyle w:val="Heading2"/>
      </w:pPr>
      <w:r>
        <w:rPr>
          <w:rStyle w:val="SectionNumber"/>
        </w:rPr>
        <w:t xml:space="preserve">1.14</w:t>
      </w:r>
      <w:r>
        <w:tab/>
      </w:r>
      <w:r>
        <w:t xml:space="preserve">13. Governing Law and Venue</w:t>
      </w:r>
    </w:p>
    <w:p>
      <w:pPr>
        <w:pStyle w:val="FirstParagraph"/>
      </w:pPr>
      <w:r>
        <w:t xml:space="preserve">This Agreement is governed by and construed in accordance with the laws of the State of Delaware, without regard to its conflict-of-laws principles. Each Party irrevocably submits to the exclusive jurisdiction of the state and federal courts located in New Castle County, Delaware for any action arising out of or relating to this Agreement, and waives any objection to venue in those courts, except that either Party may seek injunctive relief under Section 10.1 in any court of competent jurisdiction.</w:t>
      </w:r>
    </w:p>
    <w:bookmarkEnd w:id="22"/>
    <w:bookmarkStart w:id="23" w:name="general-provisions"/>
    <w:p>
      <w:pPr>
        <w:pStyle w:val="Heading2"/>
      </w:pPr>
      <w:r>
        <w:rPr>
          <w:rStyle w:val="SectionNumber"/>
        </w:rPr>
        <w:t xml:space="preserve">1.15</w:t>
      </w:r>
      <w:r>
        <w:tab/>
      </w: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Neither Party may assign this Agreement without the other Party’s prior written consent, except that either Party may assign it in its entirety, without consent, to a successor in connection with a merger, reorganization, or sale of all or substantially all of its assets or equity, on written notice to the other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Each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3"/>
    <w:bookmarkStart w:id="24" w:name="signature-page"/>
    <w:p>
      <w:pPr>
        <w:pStyle w:val="Heading2"/>
      </w:pPr>
      <w:r>
        <w:rPr>
          <w:rStyle w:val="SectionNumber"/>
        </w:rPr>
        <w:t xml:space="preserve">1.16</w:t>
      </w:r>
      <w:r>
        <w:tab/>
      </w:r>
      <w:r>
        <w:t xml:space="preserve">Signature Page</w:t>
      </w:r>
    </w:p>
    <w:p>
      <w:pPr>
        <w:pStyle w:val="FirstParagraph"/>
      </w:pPr>
      <w:r>
        <w:rPr>
          <w:b/>
          <w:bCs/>
        </w:rPr>
        <w:t xml:space="preserve">IN WITNESS WHEREOF</w:t>
      </w:r>
      <w:r>
        <w:t xml:space="preserve">, the Parties have executed this Mutual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VERANDA LABS, INC.</w:t>
      </w:r>
    </w:p>
    <w:p>
      <w:pPr>
        <w:pStyle w:val="BodyText"/>
      </w:pPr>
      <w:r>
        <w:t xml:space="preserve">By: _______________________________</w:t>
      </w:r>
    </w:p>
    <w:p>
      <w:pPr>
        <w:pStyle w:val="BodyText"/>
      </w:pPr>
      <w:r>
        <w:t xml:space="preserve">Name: Ingrid Solheim</w:t>
      </w:r>
    </w:p>
    <w:p>
      <w:pPr>
        <w:pStyle w:val="BodyText"/>
      </w:pPr>
      <w:r>
        <w:t xml:space="preserve">Title: Chief Operating Officer</w:t>
      </w:r>
    </w:p>
    <w:p>
      <w:pPr>
        <w:pStyle w:val="BodyText"/>
      </w:pPr>
      <w:r>
        <w:t xml:space="preserve">Date: _______________________________</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2026-08-09T01:49:52Z</dcterms:created>
  <dcterms:modified xsi:type="dcterms:W3CDTF">2026-08-09T01:49:52Z</dcterms:modified>
</cp:coreProperties>
</file>

<file path=docProps/custom.xml><?xml version="1.0" encoding="utf-8"?>
<Properties xmlns="http://schemas.openxmlformats.org/officeDocument/2006/custom-properties" xmlns:vt="http://schemas.openxmlformats.org/officeDocument/2006/docPropsVTypes"/>
</file>