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5f62b924db4d74f8c054817737be658e3dcf40"/>
    <w:p>
      <w:pPr>
        <w:pStyle w:val="Heading1"/>
      </w:pPr>
      <w:r>
        <w:rPr>
          <w:rStyle w:val="SectionNumber"/>
        </w:rPr>
        <w:t xml:space="preserve">1</w:t>
      </w:r>
      <w:r>
        <w:tab/>
      </w:r>
      <w:r>
        <w:t xml:space="preserve">High-Risk Client Intake and Financial Crime Risk Assessment</w:t>
      </w:r>
    </w:p>
    <w:p>
      <w:pPr>
        <w:pStyle w:val="FirstParagraph"/>
      </w:pPr>
      <w:r>
        <w:rPr>
          <w:b/>
          <w:bCs/>
        </w:rPr>
        <w:t xml:space="preserve">ATTICUS DUNDEE LLP — Client Risk and Financial Crime</w:t>
      </w:r>
    </w:p>
    <w:p>
      <w:pPr>
        <w:pStyle w:val="BodyText"/>
      </w:pPr>
      <w:r>
        <w:t xml:space="preserve">ATTORNEY WORK PRODUCT — PRIVILEGED AND CONFIDENTIAL</w:t>
      </w:r>
      <w:r>
        <w:t xml:space="preserve"> </w:t>
      </w:r>
      <w:r>
        <w:t xml:space="preserve">DO NOT CIRCULATE OUTSIDE THE CLIENT RISK FUNCTION WITHOUT WRITTEN AUTHORIZATION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Intake record ID</w:t>
            </w:r>
          </w:p>
        </w:tc>
        <w:tc>
          <w:tcPr/>
          <w:p>
            <w:pPr>
              <w:pStyle w:val="Compact"/>
            </w:pPr>
            <w:r>
              <w:t xml:space="preserve">INT-2026-1147</w:t>
            </w:r>
          </w:p>
        </w:tc>
      </w:tr>
      <w:tr>
        <w:tc>
          <w:tcPr/>
          <w:p>
            <w:pPr>
              <w:pStyle w:val="Compact"/>
            </w:pPr>
            <w:r>
              <w:t xml:space="preserve">Risk assessment ID</w:t>
            </w:r>
          </w:p>
        </w:tc>
        <w:tc>
          <w:tcPr/>
          <w:p>
            <w:pPr>
              <w:pStyle w:val="Compact"/>
            </w:pPr>
            <w:r>
              <w:t xml:space="preserve">CDD-2026-1147-EDD</w:t>
            </w:r>
          </w:p>
        </w:tc>
      </w:tr>
      <w:tr>
        <w:tc>
          <w:tcPr/>
          <w:p>
            <w:pPr>
              <w:pStyle w:val="Compact"/>
            </w:pPr>
            <w:r>
              <w:t xml:space="preserve">Prospective client</w:t>
            </w:r>
          </w:p>
        </w:tc>
        <w:tc>
          <w:tcPr/>
          <w:p>
            <w:pPr>
              <w:pStyle w:val="Compact"/>
            </w:pPr>
            <w:r>
              <w:t xml:space="preserve">Horizon Energy Holdings Ltd. (BVI)</w:t>
            </w:r>
          </w:p>
        </w:tc>
      </w:tr>
      <w:tr>
        <w:tc>
          <w:tcPr/>
          <w:p>
            <w:pPr>
              <w:pStyle w:val="Compact"/>
            </w:pPr>
            <w:r>
              <w:t xml:space="preserve">Matter type</w:t>
            </w:r>
          </w:p>
        </w:tc>
        <w:tc>
          <w:tcPr/>
          <w:p>
            <w:pPr>
              <w:pStyle w:val="Compact"/>
            </w:pPr>
            <w:r>
              <w:t xml:space="preserve">Cross-border acquisition (upstream and midstream energy assets)</w:t>
            </w:r>
          </w:p>
        </w:tc>
      </w:tr>
      <w:tr>
        <w:tc>
          <w:tcPr/>
          <w:p>
            <w:pPr>
              <w:pStyle w:val="Compact"/>
            </w:pPr>
            <w:r>
              <w:t xml:space="preserve">Requesting attorney</w:t>
            </w:r>
          </w:p>
        </w:tc>
        <w:tc>
          <w:tcPr/>
          <w:p>
            <w:pPr>
              <w:pStyle w:val="Compact"/>
            </w:pPr>
            <w:r>
              <w:t xml:space="preserve">Gerald P. Ravenscroft, Partner, Energy and Infrastructure</w:t>
            </w:r>
          </w:p>
        </w:tc>
      </w:tr>
      <w:tr>
        <w:tc>
          <w:tcPr/>
          <w:p>
            <w:pPr>
              <w:pStyle w:val="Compact"/>
            </w:pPr>
            <w:r>
              <w:t xml:space="preserve">Due diligence level applied</w:t>
            </w:r>
          </w:p>
        </w:tc>
        <w:tc>
          <w:tcPr/>
          <w:p>
            <w:pPr>
              <w:pStyle w:val="Compact"/>
            </w:pPr>
            <w:r>
              <w:t xml:space="preserve">Enhanced Due Diligence (EDD)</w:t>
            </w:r>
          </w:p>
        </w:tc>
      </w:tr>
      <w:tr>
        <w:tc>
          <w:tcPr/>
          <w:p>
            <w:pPr>
              <w:pStyle w:val="Compact"/>
            </w:pPr>
            <w:r>
              <w:t xml:space="preserve">Prepared by</w:t>
            </w:r>
          </w:p>
        </w:tc>
        <w:tc>
          <w:tcPr/>
          <w:p>
            <w:pPr>
              <w:pStyle w:val="Compact"/>
            </w:pPr>
            <w:r>
              <w:t xml:space="preserve">Tomás E. Delgadillo, Client Due Diligence Analyst</w:t>
            </w:r>
          </w:p>
        </w:tc>
      </w:tr>
      <w:tr>
        <w:tc>
          <w:tcPr/>
          <w:p>
            <w:pPr>
              <w:pStyle w:val="Compact"/>
            </w:pPr>
            <w:r>
              <w:t xml:space="preserve">Reviewed by</w:t>
            </w:r>
          </w:p>
        </w:tc>
        <w:tc>
          <w:tcPr/>
          <w:p>
            <w:pPr>
              <w:pStyle w:val="Compact"/>
            </w:pPr>
            <w:r>
              <w:t xml:space="preserve">Beatrice A. Lindqvist, Director of Client Risk and Financial Crime</w:t>
            </w:r>
          </w:p>
        </w:tc>
      </w:tr>
      <w:tr>
        <w:tc>
          <w:tcPr/>
          <w:p>
            <w:pPr>
              <w:pStyle w:val="Compact"/>
            </w:pPr>
            <w:r>
              <w:t xml:space="preserve">Date of request</w:t>
            </w:r>
          </w:p>
        </w:tc>
        <w:tc>
          <w:tcPr/>
          <w:p>
            <w:pPr>
              <w:pStyle w:val="Compact"/>
            </w:pPr>
            <w:r>
              <w:t xml:space="preserve">July 15, 2026</w:t>
            </w:r>
          </w:p>
        </w:tc>
      </w:tr>
      <w:tr>
        <w:tc>
          <w:tcPr/>
          <w:p>
            <w:pPr>
              <w:pStyle w:val="Compact"/>
            </w:pPr>
            <w:r>
              <w:t xml:space="preserve">Date assessment completed</w:t>
            </w:r>
          </w:p>
        </w:tc>
        <w:tc>
          <w:tcPr/>
          <w:p>
            <w:pPr>
              <w:pStyle w:val="Compact"/>
            </w:pPr>
            <w:r>
              <w:t xml:space="preserve">July 30, 2026</w:t>
            </w:r>
          </w:p>
        </w:tc>
      </w:tr>
      <w:tr>
        <w:tc>
          <w:tcPr/>
          <w:p>
            <w:pPr>
              <w:pStyle w:val="Compact"/>
            </w:pPr>
            <w:r>
              <w:rPr>
                <w:b/>
                <w:bCs/>
              </w:rPr>
              <w:t xml:space="preserve">Composite risk score</w:t>
            </w:r>
          </w:p>
        </w:tc>
        <w:tc>
          <w:tcPr/>
          <w:p>
            <w:pPr>
              <w:pStyle w:val="Compact"/>
            </w:pPr>
            <w:r>
              <w:rPr>
                <w:b/>
                <w:bCs/>
              </w:rPr>
              <w:t xml:space="preserve">15 / 15 (CRITICAL)</w:t>
            </w:r>
          </w:p>
        </w:tc>
      </w:tr>
      <w:tr>
        <w:tc>
          <w:tcPr/>
          <w:p>
            <w:pPr>
              <w:pStyle w:val="Compact"/>
            </w:pPr>
            <w:r>
              <w:t xml:space="preserve">Recommendation</w:t>
            </w:r>
          </w:p>
        </w:tc>
        <w:tc>
          <w:tcPr/>
          <w:p>
            <w:pPr>
              <w:pStyle w:val="Compact"/>
            </w:pPr>
            <w:r>
              <w:t xml:space="preserve">DECLINE</w:t>
            </w:r>
          </w:p>
        </w:tc>
      </w:tr>
      <w:tr>
        <w:tc>
          <w:tcPr/>
          <w:p>
            <w:pPr>
              <w:pStyle w:val="Compact"/>
            </w:pPr>
            <w:r>
              <w:t xml:space="preserve">Committee decision</w:t>
            </w:r>
          </w:p>
        </w:tc>
        <w:tc>
          <w:tcPr/>
          <w:p>
            <w:pPr>
              <w:pStyle w:val="Compact"/>
            </w:pPr>
            <w:r>
              <w:t xml:space="preserve">DECLINED, July 31, 2026</w:t>
            </w:r>
          </w:p>
        </w:tc>
      </w:tr>
    </w:tbl>
    <w:p>
      <w:r>
        <w:pict>
          <v:rect style="width:0;height:1.5pt" o:hralign="center" o:hrstd="t" o:hr="t"/>
        </w:pict>
      </w:r>
    </w:p>
    <w:bookmarkStart w:id="9" w:name="purpose-and-standard-applied"/>
    <w:p>
      <w:pPr>
        <w:pStyle w:val="Heading2"/>
      </w:pPr>
      <w:r>
        <w:rPr>
          <w:rStyle w:val="SectionNumber"/>
        </w:rPr>
        <w:t xml:space="preserve">1.1</w:t>
      </w:r>
      <w:r>
        <w:tab/>
      </w:r>
      <w:r>
        <w:t xml:space="preserve">1. Purpose and Standard Applied</w:t>
      </w:r>
    </w:p>
    <w:p>
      <w:pPr>
        <w:pStyle w:val="FirstParagraph"/>
      </w:pPr>
      <w:r>
        <w:t xml:space="preserve">This record documents the client due diligence performed on a prospective client that triggered every enhanced-review flag in the firm’s Client Acceptance and Financial Crime Policy (the</w:t>
      </w:r>
      <w:r>
        <w:t xml:space="preserve"> </w:t>
      </w:r>
      <w:r>
        <w:t xml:space="preserve">“Policy”</w:t>
      </w:r>
      <w:r>
        <w:t xml:space="preserve">). It is written to support a defensible decision under Model Rule 1.16(a) and 1.2(d), and to preserve the reasoning if the firm is later asked why it did or did not act.</w:t>
      </w:r>
    </w:p>
    <w:p>
      <w:pPr>
        <w:pStyle w:val="BodyText"/>
      </w:pPr>
      <w:r>
        <w:t xml:space="preserve">The firm is not a financial institution subject to the Bank Secrecy Act and has no suspicious activity reporting obligation. That is not the operative constraint. Three other constraints are:</w:t>
      </w:r>
    </w:p>
    <w:p>
      <w:pPr>
        <w:pStyle w:val="Compact"/>
        <w:numPr>
          <w:ilvl w:val="0"/>
          <w:numId w:val="1001"/>
        </w:numPr>
      </w:pPr>
      <w:r>
        <w:rPr>
          <w:b/>
          <w:bCs/>
        </w:rPr>
        <w:t xml:space="preserve">Model Rule 1.2(d) and ABA Formal Opinion 491.</w:t>
      </w:r>
      <w:r>
        <w:t xml:space="preserve"> </w:t>
      </w:r>
      <w:r>
        <w:t xml:space="preserve">A lawyer may not counsel or assist a client in conduct the lawyer knows is criminal or fraudulent, and where the facts known to the lawyer establish a high probability that the client seeks to use the lawyer’s services for such conduct, the lawyer has a duty to inquire further. A high composite score under the Policy is the firm’s operational proxy for that duty. Unresolved high-probability indicators mean the engagement cannot be accepted while they remain unresolved.</w:t>
      </w:r>
    </w:p>
    <w:p>
      <w:pPr>
        <w:pStyle w:val="Compact"/>
        <w:numPr>
          <w:ilvl w:val="0"/>
          <w:numId w:val="1001"/>
        </w:numPr>
      </w:pPr>
      <w:r>
        <w:rPr>
          <w:b/>
          <w:bCs/>
        </w:rPr>
        <w:t xml:space="preserve">Sanctions law.</w:t>
      </w:r>
      <w:r>
        <w:t xml:space="preserve"> </w:t>
      </w:r>
      <w:r>
        <w:t xml:space="preserve">The prohibitions administered by the U.S. Department of the Treasury’s Office of Foreign Assets Control bind the firm as a U.S. person, including the prohibition on dealing in blocked property and the treatment of entities owned 50 percent or more, directly or indirectly, by blocked persons. Providing legal services to a blocked person, or receiving property in which a blocked person has an interest, is a strict-liability exposure. A legal-services general license is not assumed and none has been sought.</w:t>
      </w:r>
    </w:p>
    <w:p>
      <w:pPr>
        <w:pStyle w:val="Compact"/>
        <w:numPr>
          <w:ilvl w:val="0"/>
          <w:numId w:val="1001"/>
        </w:numPr>
      </w:pPr>
      <w:r>
        <w:rPr>
          <w:b/>
          <w:bCs/>
        </w:rPr>
        <w:t xml:space="preserve">The Foreign Corrupt Practices Act.</w:t>
      </w:r>
      <w:r>
        <w:t xml:space="preserve"> </w:t>
      </w:r>
      <w:r>
        <w:t xml:space="preserve">Where the counterparty is a state-owned enterprise and the transaction contemplates local intermediaries, the firm’s own conduct and its advice are within the anti-bribery and books-and-records provisions.</w:t>
      </w:r>
    </w:p>
    <w:p>
      <w:pPr>
        <w:pStyle w:val="FirstParagraph"/>
      </w:pPr>
      <w:r>
        <w:t xml:space="preserve">The Policy’s scoring model is described in Part 6. The maximum possible score is 15. This file scored 15.</w:t>
      </w:r>
    </w:p>
    <w:bookmarkEnd w:id="9"/>
    <w:bookmarkStart w:id="10" w:name="source-of-the-introduction"/>
    <w:p>
      <w:pPr>
        <w:pStyle w:val="Heading2"/>
      </w:pPr>
      <w:r>
        <w:rPr>
          <w:rStyle w:val="SectionNumber"/>
        </w:rPr>
        <w:t xml:space="preserve">1.2</w:t>
      </w:r>
      <w:r>
        <w:tab/>
      </w:r>
      <w:r>
        <w:t xml:space="preserve">2. Source of the Introduction</w:t>
      </w:r>
    </w:p>
    <w:p>
      <w:pPr>
        <w:pStyle w:val="FirstParagraph"/>
      </w:pPr>
      <w:r>
        <w:t xml:space="preserve">The matter was introduced on June 26, 2026 by Sébastien Marchal, an independent introducer with whom the firm has no prior relationship and who is not a lawyer. Mr. Marchal requested a 4 percent introduction fee on billed fees, payable to an entity he declined to name until engagement. The firm does not pay referral fees to non-lawyers (Model Rule 5.4(a)) and the requesting attorney so advised on June 26, 2026. Mr. Marchal then proposed that the fee be described as a</w:t>
      </w:r>
      <w:r>
        <w:t xml:space="preserve"> </w:t>
      </w:r>
      <w:r>
        <w:t xml:space="preserve">“market advisory retainer”</w:t>
      </w:r>
      <w:r>
        <w:t xml:space="preserve"> </w:t>
      </w:r>
      <w:r>
        <w:t xml:space="preserve">paid by the client and rebated. That proposal was refused and is recorded here because it is itself an integrity indicator, not merely a fee dispute.</w:t>
      </w:r>
    </w:p>
    <w:bookmarkEnd w:id="10"/>
    <w:bookmarkStart w:id="11" w:name="prospective-client-and-ownership"/>
    <w:p>
      <w:pPr>
        <w:pStyle w:val="Heading2"/>
      </w:pPr>
      <w:r>
        <w:rPr>
          <w:rStyle w:val="SectionNumber"/>
        </w:rPr>
        <w:t xml:space="preserve">1.3</w:t>
      </w:r>
      <w:r>
        <w:tab/>
      </w:r>
      <w:r>
        <w:t xml:space="preserve">3. Prospective Client and Ownership</w:t>
      </w:r>
    </w:p>
    <w:p>
      <w:pPr>
        <w:pStyle w:val="FirstParagraph"/>
      </w:pPr>
      <w:r>
        <w:rPr>
          <w:b/>
          <w:bCs/>
        </w:rPr>
        <w:t xml:space="preserve">Prospective client.</w:t>
      </w:r>
      <w:r>
        <w:t xml:space="preserve"> </w:t>
      </w:r>
      <w:r>
        <w:t xml:space="preserve">Horizon Energy Holdings Ltd., a BVI Business Company incorporated on November 8, 2019, registered number 2019-114882, registered office care of a BVI licensed trust company. The company has no employees, no operating premises, and no audited financial statements. Its stated purpose is to hold energy interests.</w:t>
      </w:r>
    </w:p>
    <w:p>
      <w:pPr>
        <w:pStyle w:val="BodyText"/>
      </w:pPr>
      <w:r>
        <w:rPr>
          <w:b/>
          <w:bCs/>
        </w:rPr>
        <w:t xml:space="preserve">Ownership chain as disclosed and as verified.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Holder</w:t>
            </w:r>
          </w:p>
        </w:tc>
        <w:tc>
          <w:tcPr/>
          <w:p>
            <w:pPr>
              <w:pStyle w:val="Compact"/>
            </w:pPr>
            <w:r>
              <w:t xml:space="preserve">Held entity</w:t>
            </w:r>
          </w:p>
        </w:tc>
        <w:tc>
          <w:tcPr/>
          <w:p>
            <w:pPr>
              <w:pStyle w:val="Compact"/>
            </w:pPr>
            <w:r>
              <w:t xml:space="preserve">Interest</w:t>
            </w:r>
          </w:p>
        </w:tc>
        <w:tc>
          <w:tcPr/>
          <w:p>
            <w:pPr>
              <w:pStyle w:val="Compact"/>
            </w:pPr>
            <w:r>
              <w:t xml:space="preserve">Verification status</w:t>
            </w:r>
          </w:p>
        </w:tc>
      </w:tr>
      <w:tr>
        <w:tc>
          <w:tcPr/>
          <w:p>
            <w:pPr>
              <w:pStyle w:val="Compact"/>
            </w:pPr>
            <w:r>
              <w:t xml:space="preserve">1</w:t>
            </w:r>
          </w:p>
        </w:tc>
        <w:tc>
          <w:tcPr/>
          <w:p>
            <w:pPr>
              <w:pStyle w:val="Compact"/>
            </w:pPr>
            <w:r>
              <w:t xml:space="preserve">Castleroy Nominees (BVI) Ltd.</w:t>
            </w:r>
          </w:p>
        </w:tc>
        <w:tc>
          <w:tcPr/>
          <w:p>
            <w:pPr>
              <w:pStyle w:val="Compact"/>
            </w:pPr>
            <w:r>
              <w:t xml:space="preserve">Horizon Energy Holdings Ltd.</w:t>
            </w:r>
          </w:p>
        </w:tc>
        <w:tc>
          <w:tcPr/>
          <w:p>
            <w:pPr>
              <w:pStyle w:val="Compact"/>
            </w:pPr>
            <w:r>
              <w:t xml:space="preserve">100% (registered)</w:t>
            </w:r>
          </w:p>
        </w:tc>
        <w:tc>
          <w:tcPr/>
          <w:p>
            <w:pPr>
              <w:pStyle w:val="Compact"/>
            </w:pPr>
            <w:r>
              <w:t xml:space="preserve">Verified against BVI register extract, 2026-07-09. Registered holder is a nominee.</w:t>
            </w:r>
          </w:p>
        </w:tc>
      </w:tr>
      <w:tr>
        <w:tc>
          <w:tcPr/>
          <w:p>
            <w:pPr>
              <w:pStyle w:val="Compact"/>
            </w:pPr>
            <w:r>
              <w:t xml:space="preserve">2</w:t>
            </w:r>
          </w:p>
        </w:tc>
        <w:tc>
          <w:tcPr/>
          <w:p>
            <w:pPr>
              <w:pStyle w:val="Compact"/>
            </w:pPr>
            <w:r>
              <w:t xml:space="preserve">Anseline Holdings Ltd. (Seychelles)</w:t>
            </w:r>
          </w:p>
        </w:tc>
        <w:tc>
          <w:tcPr/>
          <w:p>
            <w:pPr>
              <w:pStyle w:val="Compact"/>
            </w:pPr>
            <w:r>
              <w:t xml:space="preserve">Castleroy Nominees (BVI) Ltd., as nominee</w:t>
            </w:r>
          </w:p>
        </w:tc>
        <w:tc>
          <w:tcPr/>
          <w:p>
            <w:pPr>
              <w:pStyle w:val="Compact"/>
            </w:pPr>
            <w:r>
              <w:t xml:space="preserve">100% (beneficial)</w:t>
            </w:r>
          </w:p>
        </w:tc>
        <w:tc>
          <w:tcPr/>
          <w:p>
            <w:pPr>
              <w:pStyle w:val="Compact"/>
            </w:pPr>
            <w:r>
              <w:t xml:space="preserve">Declaration of trust produced 2026-07-13. Not independently verifiable; Seychelles register does not disclose members.</w:t>
            </w:r>
          </w:p>
        </w:tc>
      </w:tr>
      <w:tr>
        <w:tc>
          <w:tcPr/>
          <w:p>
            <w:pPr>
              <w:pStyle w:val="Compact"/>
            </w:pPr>
            <w:r>
              <w:t xml:space="preserve">3</w:t>
            </w:r>
          </w:p>
        </w:tc>
        <w:tc>
          <w:tcPr/>
          <w:p>
            <w:pPr>
              <w:pStyle w:val="Compact"/>
            </w:pPr>
            <w:r>
              <w:t xml:space="preserve">The Kavaris Family Settlement (Cayman Islands discretionary trust)</w:t>
            </w:r>
          </w:p>
        </w:tc>
        <w:tc>
          <w:tcPr/>
          <w:p>
            <w:pPr>
              <w:pStyle w:val="Compact"/>
            </w:pPr>
            <w:r>
              <w:t xml:space="preserve">Anseline Holdings Ltd.</w:t>
            </w:r>
          </w:p>
        </w:tc>
        <w:tc>
          <w:tcPr/>
          <w:p>
            <w:pPr>
              <w:pStyle w:val="Compact"/>
            </w:pPr>
            <w:r>
              <w:t xml:space="preserve">100%</w:t>
            </w:r>
          </w:p>
        </w:tc>
        <w:tc>
          <w:tcPr/>
          <w:p>
            <w:pPr>
              <w:pStyle w:val="Compact"/>
            </w:pPr>
            <w:r>
              <w:t xml:space="preserve">Trust deed extract produced 2026-07-16, redacted. Beneficiary class redacted.</w:t>
            </w:r>
          </w:p>
        </w:tc>
      </w:tr>
      <w:tr>
        <w:tc>
          <w:tcPr/>
          <w:p>
            <w:pPr>
              <w:pStyle w:val="Compact"/>
            </w:pPr>
            <w:r>
              <w:t xml:space="preserve">4</w:t>
            </w:r>
          </w:p>
        </w:tc>
        <w:tc>
          <w:tcPr/>
          <w:p>
            <w:pPr>
              <w:pStyle w:val="Compact"/>
            </w:pPr>
            <w:r>
              <w:t xml:space="preserve">Teodor S. Kavaris</w:t>
            </w:r>
          </w:p>
        </w:tc>
        <w:tc>
          <w:tcPr/>
          <w:p>
            <w:pPr>
              <w:pStyle w:val="Compact"/>
            </w:pPr>
            <w:r>
              <w:t xml:space="preserve">The Kavaris Family Settlement</w:t>
            </w:r>
          </w:p>
        </w:tc>
        <w:tc>
          <w:tcPr/>
          <w:p>
            <w:pPr>
              <w:pStyle w:val="Compact"/>
            </w:pPr>
            <w:r>
              <w:t xml:space="preserve">Settlor and protector; power to remove and appoint trustees</w:t>
            </w:r>
          </w:p>
        </w:tc>
        <w:tc>
          <w:tcPr/>
          <w:p>
            <w:pPr>
              <w:pStyle w:val="Compact"/>
            </w:pPr>
            <w:r>
              <w:t xml:space="preserve">Confirmed by the client’s BVI counsel by email, 2026-07-17. Mr. Kavaris is identified as the ultimate beneficial owner for the firm’s purposes.</w:t>
            </w:r>
          </w:p>
        </w:tc>
      </w:tr>
    </w:tbl>
    <w:p>
      <w:pPr>
        <w:pStyle w:val="BodyText"/>
      </w:pPr>
      <w:r>
        <w:t xml:space="preserve">Three of the four tiers rely on documents produced by the prospective client or its agents rather than on an independent register. The registered directors of Horizon Energy Holdings Ltd. are two corporate directors supplied by the BVI trust company and one individual, Andrei Kavaris, who is the ultimate beneficial owner’s son.</w:t>
      </w:r>
    </w:p>
    <w:p>
      <w:pPr>
        <w:pStyle w:val="BodyText"/>
      </w:pPr>
      <w:r>
        <w:rPr>
          <w:b/>
          <w:bCs/>
        </w:rPr>
        <w:t xml:space="preserve">Ultimate beneficial owner.</w:t>
      </w:r>
      <w:r>
        <w:t xml:space="preserve"> </w:t>
      </w:r>
      <w:r>
        <w:t xml:space="preserve">Teodor S. Kavaris, born 1961, national of the Republic of Verkhal, resident in Dubai, United Arab Emirates since 2022. Passport copy produced 2026-07-16 was a photocopy of a photocopy and was not certified. A certified copy and proof of residential address were requested on July 16, 2026 and had not been produced as of the date of this assessment.</w:t>
      </w:r>
    </w:p>
    <w:bookmarkEnd w:id="11"/>
    <w:bookmarkStart w:id="12" w:name="politically-exposed-person-profile"/>
    <w:p>
      <w:pPr>
        <w:pStyle w:val="Heading2"/>
      </w:pPr>
      <w:r>
        <w:rPr>
          <w:rStyle w:val="SectionNumber"/>
        </w:rPr>
        <w:t xml:space="preserve">1.4</w:t>
      </w:r>
      <w:r>
        <w:tab/>
      </w:r>
      <w:r>
        <w:t xml:space="preserve">4. Politically Exposed Person Profile</w:t>
      </w:r>
    </w:p>
    <w:p>
      <w:pPr>
        <w:pStyle w:val="FirstParagraph"/>
      </w:pPr>
      <w:r>
        <w:t xml:space="preserve">Mr. Kavaris is a</w:t>
      </w:r>
      <w:r>
        <w:t xml:space="preserve"> </w:t>
      </w:r>
      <w:r>
        <w:rPr>
          <w:b/>
          <w:bCs/>
        </w:rPr>
        <w:t xml:space="preserve">former</w:t>
      </w:r>
      <w:r>
        <w:t xml:space="preserve"> </w:t>
      </w:r>
      <w:r>
        <w:t xml:space="preserve">politically exposed person under the Policy definition, which follows the FATF formulation of a person entrusted with a prominent public function.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Position</w:t>
            </w:r>
          </w:p>
        </w:tc>
      </w:tr>
      <w:tr>
        <w:tc>
          <w:tcPr/>
          <w:p>
            <w:pPr>
              <w:pStyle w:val="Compact"/>
            </w:pPr>
            <w:r>
              <w:t xml:space="preserve">2015 to 2021</w:t>
            </w:r>
          </w:p>
        </w:tc>
        <w:tc>
          <w:tcPr/>
          <w:p>
            <w:pPr>
              <w:pStyle w:val="Compact"/>
            </w:pPr>
            <w:r>
              <w:t xml:space="preserve">Deputy Minister of Energy and Natural Resources, Republic of Verkhal</w:t>
            </w:r>
          </w:p>
        </w:tc>
      </w:tr>
      <w:tr>
        <w:tc>
          <w:tcPr/>
          <w:p>
            <w:pPr>
              <w:pStyle w:val="Compact"/>
            </w:pPr>
            <w:r>
              <w:t xml:space="preserve">2018 to 2021</w:t>
            </w:r>
          </w:p>
        </w:tc>
        <w:tc>
          <w:tcPr/>
          <w:p>
            <w:pPr>
              <w:pStyle w:val="Compact"/>
            </w:pPr>
            <w:r>
              <w:t xml:space="preserve">Chairman of the supervisory board, Verkhal National Energy Company (state-owned)</w:t>
            </w:r>
          </w:p>
        </w:tc>
      </w:tr>
      <w:tr>
        <w:tc>
          <w:tcPr/>
          <w:p>
            <w:pPr>
              <w:pStyle w:val="Compact"/>
            </w:pPr>
            <w:r>
              <w:t xml:space="preserve">2021 to present</w:t>
            </w:r>
          </w:p>
        </w:tc>
        <w:tc>
          <w:tcPr/>
          <w:p>
            <w:pPr>
              <w:pStyle w:val="Compact"/>
            </w:pPr>
            <w:r>
              <w:t xml:space="preserve">Private investor; no public office</w:t>
            </w:r>
          </w:p>
        </w:tc>
      </w:tr>
    </w:tbl>
    <w:p>
      <w:pPr>
        <w:pStyle w:val="BodyText"/>
      </w:pPr>
      <w:r>
        <w:t xml:space="preserve">The Policy does not apply a time-decay to former PEP status automatically. Under Policy Section 7.4, a former PEP remains in scope where the source of wealth accumulated during or immediately after the period of public function, where the person retains influence in the relevant sector, or where the proposed matter is in the same sector the person previously regulated.</w:t>
      </w:r>
      <w:r>
        <w:t xml:space="preserve"> </w:t>
      </w:r>
      <w:r>
        <w:rPr>
          <w:b/>
          <w:bCs/>
        </w:rPr>
        <w:t xml:space="preserve">All three conditions are met here.</w:t>
      </w:r>
      <w:r>
        <w:t xml:space="preserve"> </w:t>
      </w:r>
      <w:r>
        <w:t xml:space="preserve">The matter is an energy transaction in a sector Mr. Kavaris regulated as deputy minister and in which he chaired the state-owned incumbent, and his separation from public office is four years, well inside the Policy’s five-year look-back for sector-adjacent matters.</w:t>
      </w:r>
    </w:p>
    <w:p>
      <w:pPr>
        <w:pStyle w:val="BodyText"/>
      </w:pPr>
      <w:r>
        <w:t xml:space="preserve">Two immediate family members are in scope as PEP-associated persons: Marisol Kavaris-Elenko (spouse) and Andrei Kavaris (son, and a director of the prospective client).</w:t>
      </w:r>
    </w:p>
    <w:bookmarkEnd w:id="12"/>
    <w:bookmarkStart w:id="13" w:name="sanctions-and-adverse-media-screening"/>
    <w:p>
      <w:pPr>
        <w:pStyle w:val="Heading2"/>
      </w:pPr>
      <w:r>
        <w:rPr>
          <w:rStyle w:val="SectionNumber"/>
        </w:rPr>
        <w:t xml:space="preserve">1.5</w:t>
      </w:r>
      <w:r>
        <w:tab/>
      </w:r>
      <w:r>
        <w:t xml:space="preserve">5. Sanctions and Adverse Media Screening</w:t>
      </w:r>
    </w:p>
    <w:p>
      <w:pPr>
        <w:pStyle w:val="FirstParagraph"/>
      </w:pPr>
      <w:r>
        <w:t xml:space="preserve">Screening was run on July 10, 2026 and re-run on July 24, 2026 against the OFAC Specially Designated Nationals and Blocked Persons List, the OFAC Sectoral Sanctions Identifications List, the OFAC Non-SDN Menu-Based Sanctions List, the consolidated lists of the United Kingdom and the European Union, and the firm’s adverse media provider.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Subject</w:t>
            </w:r>
          </w:p>
        </w:tc>
        <w:tc>
          <w:tcPr/>
          <w:p>
            <w:pPr>
              <w:pStyle w:val="Compact"/>
            </w:pPr>
            <w:r>
              <w:t xml:space="preserve">Result</w:t>
            </w:r>
          </w:p>
        </w:tc>
        <w:tc>
          <w:tcPr/>
          <w:p>
            <w:pPr>
              <w:pStyle w:val="Compact"/>
            </w:pPr>
            <w:r>
              <w:t xml:space="preserve">Status</w:t>
            </w:r>
          </w:p>
        </w:tc>
      </w:tr>
      <w:tr>
        <w:tc>
          <w:tcPr/>
          <w:p>
            <w:pPr>
              <w:pStyle w:val="Compact"/>
            </w:pPr>
            <w:r>
              <w:t xml:space="preserve">Horizon Energy Holdings Ltd.</w:t>
            </w:r>
          </w:p>
        </w:tc>
        <w:tc>
          <w:tcPr/>
          <w:p>
            <w:pPr>
              <w:pStyle w:val="Compact"/>
            </w:pPr>
            <w:r>
              <w:t xml:space="preserve">No list match</w:t>
            </w:r>
          </w:p>
        </w:tc>
        <w:tc>
          <w:tcPr/>
          <w:p>
            <w:pPr>
              <w:pStyle w:val="Compact"/>
            </w:pPr>
            <w:r>
              <w:t xml:space="preserve">Cleared</w:t>
            </w:r>
          </w:p>
        </w:tc>
      </w:tr>
      <w:tr>
        <w:tc>
          <w:tcPr/>
          <w:p>
            <w:pPr>
              <w:pStyle w:val="Compact"/>
            </w:pPr>
            <w:r>
              <w:t xml:space="preserve">Castleroy Nominees (BVI) Ltd.</w:t>
            </w:r>
          </w:p>
        </w:tc>
        <w:tc>
          <w:tcPr/>
          <w:p>
            <w:pPr>
              <w:pStyle w:val="Compact"/>
            </w:pPr>
            <w:r>
              <w:t xml:space="preserve">No list match</w:t>
            </w:r>
          </w:p>
        </w:tc>
        <w:tc>
          <w:tcPr/>
          <w:p>
            <w:pPr>
              <w:pStyle w:val="Compact"/>
            </w:pPr>
            <w:r>
              <w:t xml:space="preserve">Cleared</w:t>
            </w:r>
          </w:p>
        </w:tc>
      </w:tr>
      <w:tr>
        <w:tc>
          <w:tcPr/>
          <w:p>
            <w:pPr>
              <w:pStyle w:val="Compact"/>
            </w:pPr>
            <w:r>
              <w:t xml:space="preserve">Anseline Holdings Ltd.</w:t>
            </w:r>
          </w:p>
        </w:tc>
        <w:tc>
          <w:tcPr/>
          <w:p>
            <w:pPr>
              <w:pStyle w:val="Compact"/>
            </w:pPr>
            <w:r>
              <w:t xml:space="preserve">No list match; provider coverage of Seychelles entities is incomplete</w:t>
            </w:r>
          </w:p>
        </w:tc>
        <w:tc>
          <w:tcPr/>
          <w:p>
            <w:pPr>
              <w:pStyle w:val="Compact"/>
            </w:pPr>
            <w:r>
              <w:t xml:space="preserve">Cleared with reservation</w:t>
            </w:r>
          </w:p>
        </w:tc>
      </w:tr>
      <w:tr>
        <w:tc>
          <w:tcPr/>
          <w:p>
            <w:pPr>
              <w:pStyle w:val="Compact"/>
            </w:pPr>
            <w:r>
              <w:t xml:space="preserve">Teodor S. Kavaris</w:t>
            </w:r>
          </w:p>
        </w:tc>
        <w:tc>
          <w:tcPr/>
          <w:p>
            <w:pPr>
              <w:pStyle w:val="Compact"/>
            </w:pPr>
            <w:r>
              <w:rPr>
                <w:b/>
                <w:bCs/>
              </w:rPr>
              <w:t xml:space="preserve">One potential match, similarity 94.1, against the OFAC SDN List.</w:t>
            </w:r>
            <w:r>
              <w:t xml:space="preserve"> </w:t>
            </w:r>
            <w:r>
              <w:t xml:space="preserve">Date of birth on the list entry is within two years of the subject’s; nationality field is consistent</w:t>
            </w:r>
          </w:p>
        </w:tc>
        <w:tc>
          <w:tcPr/>
          <w:p>
            <w:pPr>
              <w:pStyle w:val="Compact"/>
            </w:pPr>
            <w:r>
              <w:rPr>
                <w:b/>
                <w:bCs/>
              </w:rPr>
              <w:t xml:space="preserve">UNRESOLVED</w:t>
            </w:r>
          </w:p>
        </w:tc>
      </w:tr>
      <w:tr>
        <w:tc>
          <w:tcPr/>
          <w:p>
            <w:pPr>
              <w:pStyle w:val="Compact"/>
            </w:pPr>
            <w:r>
              <w:t xml:space="preserve">Andrei Kavaris</w:t>
            </w:r>
          </w:p>
        </w:tc>
        <w:tc>
          <w:tcPr/>
          <w:p>
            <w:pPr>
              <w:pStyle w:val="Compact"/>
            </w:pPr>
            <w:r>
              <w:t xml:space="preserve">No list match</w:t>
            </w:r>
          </w:p>
        </w:tc>
        <w:tc>
          <w:tcPr/>
          <w:p>
            <w:pPr>
              <w:pStyle w:val="Compact"/>
            </w:pPr>
            <w:r>
              <w:t xml:space="preserve">Cleared</w:t>
            </w:r>
          </w:p>
        </w:tc>
      </w:tr>
      <w:tr>
        <w:tc>
          <w:tcPr/>
          <w:p>
            <w:pPr>
              <w:pStyle w:val="Compact"/>
            </w:pPr>
            <w:r>
              <w:t xml:space="preserve">Verkhal National Energy Company</w:t>
            </w:r>
          </w:p>
        </w:tc>
        <w:tc>
          <w:tcPr/>
          <w:p>
            <w:pPr>
              <w:pStyle w:val="Compact"/>
            </w:pPr>
            <w:r>
              <w:t xml:space="preserve">No direct list match. Ownership research indicates a 61 percent interest held by an entity that is itself the subject of a designation research request</w:t>
            </w:r>
          </w:p>
        </w:tc>
        <w:tc>
          <w:tcPr/>
          <w:p>
            <w:pPr>
              <w:pStyle w:val="Compact"/>
            </w:pPr>
            <w:r>
              <w:rPr>
                <w:b/>
                <w:bCs/>
              </w:rPr>
              <w:t xml:space="preserve">UNRESOLVED: 50 percent rule exposure</w:t>
            </w:r>
          </w:p>
        </w:tc>
      </w:tr>
      <w:tr>
        <w:tc>
          <w:tcPr/>
          <w:p>
            <w:pPr>
              <w:pStyle w:val="Compact"/>
            </w:pPr>
            <w:r>
              <w:t xml:space="preserve">Adverse media, T. Kavaris</w:t>
            </w:r>
          </w:p>
        </w:tc>
        <w:tc>
          <w:tcPr/>
          <w:p>
            <w:pPr>
              <w:pStyle w:val="Compact"/>
            </w:pPr>
            <w:r>
              <w:t xml:space="preserve">14 articles across 6 outlets, 2019 to 2024, alleging directed award of extraction licences during the subject’s tenure. No charge, indictment, or conviction identified in any jurisdiction</w:t>
            </w:r>
          </w:p>
        </w:tc>
        <w:tc>
          <w:tcPr/>
          <w:p>
            <w:pPr>
              <w:pStyle w:val="Compact"/>
            </w:pPr>
            <w:r>
              <w:t xml:space="preserve">Adverse but unadjudicated</w:t>
            </w:r>
          </w:p>
        </w:tc>
      </w:tr>
    </w:tbl>
    <w:p>
      <w:pPr>
        <w:pStyle w:val="BodyText"/>
      </w:pPr>
      <w:r>
        <w:t xml:space="preserve">The potential SDN match on the ultimate beneficial owner has</w:t>
      </w:r>
      <w:r>
        <w:t xml:space="preserve"> </w:t>
      </w:r>
      <w:r>
        <w:rPr>
          <w:b/>
          <w:bCs/>
        </w:rPr>
        <w:t xml:space="preserve">not</w:t>
      </w:r>
      <w:r>
        <w:t xml:space="preserve"> </w:t>
      </w:r>
      <w:r>
        <w:t xml:space="preserve">been dispositioned as a false positive. Resolving it requires the certified identity documents requested on July 16, 2026 and not produced. Until it is resolved, the firm cannot establish that accepting funds from, or providing services to, this structure is lawful.</w:t>
      </w:r>
    </w:p>
    <w:p>
      <w:pPr>
        <w:pStyle w:val="BodyText"/>
      </w:pPr>
      <w:r>
        <w:t xml:space="preserve">The 50 percent rule exposure on the counterparty is a separate and independent problem. If the entity holding 61 percent of the state-owned counterparty is or becomes designated, the counterparty is treated as blocked whether or not it appears on the list itself.</w:t>
      </w:r>
    </w:p>
    <w:bookmarkEnd w:id="13"/>
    <w:bookmarkStart w:id="19" w:name="risk-scoring"/>
    <w:p>
      <w:pPr>
        <w:pStyle w:val="Heading2"/>
      </w:pPr>
      <w:r>
        <w:rPr>
          <w:rStyle w:val="SectionNumber"/>
        </w:rPr>
        <w:t xml:space="preserve">1.6</w:t>
      </w:r>
      <w:r>
        <w:tab/>
      </w:r>
      <w:r>
        <w:t xml:space="preserve">6. Risk Scoring</w:t>
      </w:r>
    </w:p>
    <w:p>
      <w:pPr>
        <w:pStyle w:val="FirstParagraph"/>
      </w:pPr>
      <w:r>
        <w:t xml:space="preserve">The Policy scores five factors from 0 to 3, where 0 is standard risk and 3 is critical. The composite is the sum, with a maximum of 15. Any factor scored 3 requires enhanced due diligence. A composite of 12 or above requires a decision by the Financial Crime and Client Acceptance Committee and may not be cleared by the requesting partner, the practice group leader, or the intake analyst.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Weight</w:t>
            </w:r>
          </w:p>
        </w:tc>
        <w:tc>
          <w:tcPr/>
          <w:p>
            <w:pPr>
              <w:pStyle w:val="Compact"/>
            </w:pPr>
            <w:r>
              <w:t xml:space="preserve">Score</w:t>
            </w:r>
          </w:p>
        </w:tc>
        <w:tc>
          <w:tcPr/>
          <w:p>
            <w:pPr>
              <w:pStyle w:val="Compact"/>
            </w:pPr>
            <w:r>
              <w:t xml:space="preserve">Max</w:t>
            </w:r>
          </w:p>
        </w:tc>
        <w:tc>
          <w:tcPr/>
          <w:p>
            <w:pPr>
              <w:pStyle w:val="Compact"/>
            </w:pPr>
            <w:r>
              <w:t xml:space="preserve">Named triggers fired</w:t>
            </w:r>
          </w:p>
        </w:tc>
      </w:tr>
      <w:tr>
        <w:tc>
          <w:tcPr/>
          <w:p>
            <w:pPr>
              <w:pStyle w:val="Compact"/>
            </w:pPr>
            <w:r>
              <w:t xml:space="preserve">F1. Client type and ownership transparency</w:t>
            </w:r>
          </w:p>
        </w:tc>
        <w:tc>
          <w:tcPr/>
          <w:p>
            <w:pPr>
              <w:pStyle w:val="Compact"/>
            </w:pPr>
            <w:r>
              <w:t xml:space="preserve">1.0</w:t>
            </w:r>
          </w:p>
        </w:tc>
        <w:tc>
          <w:tcPr/>
          <w:p>
            <w:pPr>
              <w:pStyle w:val="Compact"/>
            </w:pPr>
            <w:r>
              <w:t xml:space="preserve">3</w:t>
            </w:r>
          </w:p>
        </w:tc>
        <w:tc>
          <w:tcPr/>
          <w:p>
            <w:pPr>
              <w:pStyle w:val="Compact"/>
            </w:pPr>
            <w:r>
              <w:t xml:space="preserve">3</w:t>
            </w:r>
          </w:p>
        </w:tc>
        <w:tc>
          <w:tcPr/>
          <w:p>
            <w:pPr>
              <w:pStyle w:val="Compact"/>
            </w:pPr>
            <w:r>
              <w:t xml:space="preserve">OWN-NOMINEE-REGISTERED-HOLDER; OWN-LAYERED-MULTI-JURISDICTION; OWN-TRUST-BENEFICIARY-REDACTED</w:t>
            </w:r>
          </w:p>
        </w:tc>
      </w:tr>
      <w:tr>
        <w:tc>
          <w:tcPr/>
          <w:p>
            <w:pPr>
              <w:pStyle w:val="Compact"/>
            </w:pPr>
            <w:r>
              <w:t xml:space="preserve">F2. Jurisdiction, matter type, and corruption exposure</w:t>
            </w:r>
          </w:p>
        </w:tc>
        <w:tc>
          <w:tcPr/>
          <w:p>
            <w:pPr>
              <w:pStyle w:val="Compact"/>
            </w:pPr>
            <w:r>
              <w:t xml:space="preserve">1.0</w:t>
            </w:r>
          </w:p>
        </w:tc>
        <w:tc>
          <w:tcPr/>
          <w:p>
            <w:pPr>
              <w:pStyle w:val="Compact"/>
            </w:pPr>
            <w:r>
              <w:t xml:space="preserve">3</w:t>
            </w:r>
          </w:p>
        </w:tc>
        <w:tc>
          <w:tcPr/>
          <w:p>
            <w:pPr>
              <w:pStyle w:val="Compact"/>
            </w:pPr>
            <w:r>
              <w:t xml:space="preserve">3</w:t>
            </w:r>
          </w:p>
        </w:tc>
        <w:tc>
          <w:tcPr/>
          <w:p>
            <w:pPr>
              <w:pStyle w:val="Compact"/>
            </w:pPr>
            <w:r>
              <w:t xml:space="preserve">GEO-SECRECY-CHAIN-BVI-SEY-CAY;</w:t>
            </w:r>
            <w:r>
              <w:t xml:space="preserve"> </w:t>
            </w:r>
            <w:r>
              <w:rPr>
                <w:b/>
                <w:bCs/>
              </w:rPr>
              <w:t xml:space="preserve">FCPA-STATE-OWNED-COUNTERPARTY</w:t>
            </w:r>
            <w:r>
              <w:t xml:space="preserve">; FCPA-LOCAL-INTERMEDIARY-SUCCESS-FEE</w:t>
            </w:r>
          </w:p>
        </w:tc>
      </w:tr>
      <w:tr>
        <w:tc>
          <w:tcPr/>
          <w:p>
            <w:pPr>
              <w:pStyle w:val="Compact"/>
            </w:pPr>
            <w:r>
              <w:t xml:space="preserve">F3. Politically exposed person exposure</w:t>
            </w:r>
          </w:p>
        </w:tc>
        <w:tc>
          <w:tcPr/>
          <w:p>
            <w:pPr>
              <w:pStyle w:val="Compact"/>
            </w:pPr>
            <w:r>
              <w:t xml:space="preserve">1.0</w:t>
            </w:r>
          </w:p>
        </w:tc>
        <w:tc>
          <w:tcPr/>
          <w:p>
            <w:pPr>
              <w:pStyle w:val="Compact"/>
            </w:pPr>
            <w:r>
              <w:t xml:space="preserve">3</w:t>
            </w:r>
          </w:p>
        </w:tc>
        <w:tc>
          <w:tcPr/>
          <w:p>
            <w:pPr>
              <w:pStyle w:val="Compact"/>
            </w:pPr>
            <w:r>
              <w:t xml:space="preserve">3</w:t>
            </w:r>
          </w:p>
        </w:tc>
        <w:tc>
          <w:tcPr/>
          <w:p>
            <w:pPr>
              <w:pStyle w:val="Compact"/>
            </w:pPr>
            <w:r>
              <w:rPr>
                <w:b/>
                <w:bCs/>
              </w:rPr>
              <w:t xml:space="preserve">PEP-FORMER-SENIOR-FOREIGN</w:t>
            </w:r>
            <w:r>
              <w:t xml:space="preserve">; PEP-SECTOR-ADJACENT-MATTER; PEP-FAMILY-MEMBER-DIRECTOR</w:t>
            </w:r>
          </w:p>
        </w:tc>
      </w:tr>
      <w:tr>
        <w:tc>
          <w:tcPr/>
          <w:p>
            <w:pPr>
              <w:pStyle w:val="Compact"/>
            </w:pPr>
            <w:r>
              <w:t xml:space="preserve">F4. Sanctions screening outcome</w:t>
            </w:r>
          </w:p>
        </w:tc>
        <w:tc>
          <w:tcPr/>
          <w:p>
            <w:pPr>
              <w:pStyle w:val="Compact"/>
            </w:pPr>
            <w:r>
              <w:t xml:space="preserve">1.0</w:t>
            </w:r>
          </w:p>
        </w:tc>
        <w:tc>
          <w:tcPr/>
          <w:p>
            <w:pPr>
              <w:pStyle w:val="Compact"/>
            </w:pPr>
            <w:r>
              <w:t xml:space="preserve">3</w:t>
            </w:r>
          </w:p>
        </w:tc>
        <w:tc>
          <w:tcPr/>
          <w:p>
            <w:pPr>
              <w:pStyle w:val="Compact"/>
            </w:pPr>
            <w:r>
              <w:t xml:space="preserve">3</w:t>
            </w:r>
          </w:p>
        </w:tc>
        <w:tc>
          <w:tcPr/>
          <w:p>
            <w:pPr>
              <w:pStyle w:val="Compact"/>
            </w:pPr>
            <w:r>
              <w:rPr>
                <w:b/>
                <w:bCs/>
              </w:rPr>
              <w:t xml:space="preserve">OFAC-SDN-POTENTIAL-MATCH-UNRESOLVED</w:t>
            </w:r>
            <w:r>
              <w:t xml:space="preserve">; OFAC-50-PERCENT-RULE-EXPOSURE</w:t>
            </w:r>
          </w:p>
        </w:tc>
      </w:tr>
      <w:tr>
        <w:tc>
          <w:tcPr/>
          <w:p>
            <w:pPr>
              <w:pStyle w:val="Compact"/>
            </w:pPr>
            <w:r>
              <w:t xml:space="preserve">F5. Source of funds and payment channel</w:t>
            </w:r>
          </w:p>
        </w:tc>
        <w:tc>
          <w:tcPr/>
          <w:p>
            <w:pPr>
              <w:pStyle w:val="Compact"/>
            </w:pPr>
            <w:r>
              <w:t xml:space="preserve">1.0</w:t>
            </w:r>
          </w:p>
        </w:tc>
        <w:tc>
          <w:tcPr/>
          <w:p>
            <w:pPr>
              <w:pStyle w:val="Compact"/>
            </w:pPr>
            <w:r>
              <w:t xml:space="preserve">3</w:t>
            </w:r>
          </w:p>
        </w:tc>
        <w:tc>
          <w:tcPr/>
          <w:p>
            <w:pPr>
              <w:pStyle w:val="Compact"/>
            </w:pPr>
            <w:r>
              <w:t xml:space="preserve">3</w:t>
            </w:r>
          </w:p>
        </w:tc>
        <w:tc>
          <w:tcPr/>
          <w:p>
            <w:pPr>
              <w:pStyle w:val="Compact"/>
            </w:pPr>
            <w:r>
              <w:rPr>
                <w:b/>
                <w:bCs/>
              </w:rPr>
              <w:t xml:space="preserve">SOF-THIRD-PARTY-PAYOR</w:t>
            </w:r>
            <w:r>
              <w:t xml:space="preserve">; SOF-OFFSHORE-WIRE-UNVERIFIED; SOF-ADVANCE-FLAT-FEE-DISPROPORTIONATE</w:t>
            </w:r>
          </w:p>
        </w:tc>
      </w:tr>
      <w:tr>
        <w:tc>
          <w:tcPr/>
          <w:p>
            <w:pPr>
              <w:pStyle w:val="Compact"/>
            </w:pPr>
            <w:r>
              <w:rPr>
                <w:b/>
                <w:bCs/>
              </w:rPr>
              <w:t xml:space="preserve">Composite</w:t>
            </w:r>
          </w:p>
        </w:tc>
        <w:tc>
          <w:tcPr/>
          <w:p>
            <w:pPr>
              <w:pStyle w:val="Compact"/>
            </w:pPr>
          </w:p>
        </w:tc>
        <w:tc>
          <w:tcPr/>
          <w:p>
            <w:pPr>
              <w:pStyle w:val="Compact"/>
            </w:pPr>
            <w:r>
              <w:rPr>
                <w:b/>
                <w:bCs/>
              </w:rPr>
              <w:t xml:space="preserve">15</w:t>
            </w:r>
          </w:p>
        </w:tc>
        <w:tc>
          <w:tcPr/>
          <w:p>
            <w:pPr>
              <w:pStyle w:val="Compact"/>
            </w:pPr>
            <w:r>
              <w:rPr>
                <w:b/>
                <w:bCs/>
              </w:rPr>
              <w:t xml:space="preserve">15</w:t>
            </w:r>
          </w:p>
        </w:tc>
        <w:tc>
          <w:tcPr/>
          <w:p>
            <w:pPr>
              <w:pStyle w:val="Compact"/>
            </w:pPr>
          </w:p>
        </w:tc>
      </w:tr>
    </w:tbl>
    <w:bookmarkStart w:id="14" w:name="Xcc993778387b53ed33f285ea1cfb44dfa81213b"/>
    <w:p>
      <w:pPr>
        <w:pStyle w:val="Heading3"/>
      </w:pPr>
      <w:r>
        <w:rPr>
          <w:rStyle w:val="SectionNumber"/>
        </w:rPr>
        <w:t xml:space="preserve">1.6.1</w:t>
      </w:r>
      <w:r>
        <w:tab/>
      </w:r>
      <w:r>
        <w:t xml:space="preserve">6.1 F1, client type and ownership transparency: 3 of 3</w:t>
      </w:r>
    </w:p>
    <w:p>
      <w:pPr>
        <w:pStyle w:val="FirstParagraph"/>
      </w:pPr>
      <w:r>
        <w:t xml:space="preserve">The registered holder is a nominee. Beneficial ownership at tiers 2 and 3 cannot be verified against any public register and rests on documents produced by the client’s own agents, one of which is redacted at the beneficiary class. The prospective client is a shell with no employees, no premises, and no financial statements. A son of the ultimate beneficial owner sits on the board alongside two corporate directors supplied by the same trust company that provides the registered office. Under Policy Table 7.1, a nominee holder combined with two or more secrecy-jurisdiction layers scores 3 without further analysis.</w:t>
      </w:r>
    </w:p>
    <w:bookmarkEnd w:id="14"/>
    <w:bookmarkStart w:id="15" w:name="X2df7d31ff2fd2b604485539e2b59db4824f5322"/>
    <w:p>
      <w:pPr>
        <w:pStyle w:val="Heading3"/>
      </w:pPr>
      <w:r>
        <w:rPr>
          <w:rStyle w:val="SectionNumber"/>
        </w:rPr>
        <w:t xml:space="preserve">1.6.2</w:t>
      </w:r>
      <w:r>
        <w:tab/>
      </w:r>
      <w:r>
        <w:t xml:space="preserve">6.2 F2, jurisdiction, matter type, and corruption exposure: 3 of 3</w:t>
      </w:r>
    </w:p>
    <w:p>
      <w:pPr>
        <w:pStyle w:val="FirstParagraph"/>
      </w:pPr>
      <w:r>
        <w:t xml:space="preserve">The ownership chain runs BVI to Seychelles to Cayman Islands. The target assets are located in a third jurisdiction. The seller of the 55 percent interest is Verkhal National Energy Company, a state-owned enterprise whose supervisory board the ultimate beneficial owner chaired until 2021. Its officers are foreign officials for FCPA purposes.</w:t>
      </w:r>
    </w:p>
    <w:p>
      <w:pPr>
        <w:pStyle w:val="BodyText"/>
      </w:pPr>
      <w:r>
        <w:t xml:space="preserve">The requesting attorney’s intake note records that the client</w:t>
      </w:r>
      <w:r>
        <w:t xml:space="preserve"> </w:t>
      </w:r>
      <w:r>
        <w:t xml:space="preserve">“has a local relationship consultant who will handle approvals”</w:t>
      </w:r>
      <w:r>
        <w:t xml:space="preserve"> </w:t>
      </w:r>
      <w:r>
        <w:t xml:space="preserve">and that the consultant’s fee is</w:t>
      </w:r>
      <w:r>
        <w:t xml:space="preserve"> </w:t>
      </w:r>
      <w:r>
        <w:t xml:space="preserve">“success-based and outside the transaction documents.”</w:t>
      </w:r>
      <w:r>
        <w:t xml:space="preserve"> </w:t>
      </w:r>
      <w:r>
        <w:t xml:space="preserve">That is the classic pattern the FCPA’s anti-bribery and books-and-records provisions are aimed at, and the firm would be asked to paper a transaction whose regulatory approvals are being procured by an intermediary the firm cannot diligence.</w:t>
      </w:r>
    </w:p>
    <w:bookmarkEnd w:id="15"/>
    <w:bookmarkStart w:id="16" w:name="Xc28d381ea589b00e4e86ac91aeecb8180b1c044"/>
    <w:p>
      <w:pPr>
        <w:pStyle w:val="Heading3"/>
      </w:pPr>
      <w:r>
        <w:rPr>
          <w:rStyle w:val="SectionNumber"/>
        </w:rPr>
        <w:t xml:space="preserve">1.6.3</w:t>
      </w:r>
      <w:r>
        <w:tab/>
      </w:r>
      <w:r>
        <w:t xml:space="preserve">6.3 F3, politically exposed person exposure: 3 of 3</w:t>
      </w:r>
    </w:p>
    <w:p>
      <w:pPr>
        <w:pStyle w:val="FirstParagraph"/>
      </w:pPr>
      <w:r>
        <w:t xml:space="preserve">See Part 4. Former senior foreign PEP; the matter is in the sector the PEP regulated; the counterparty is the state-owned enterprise the PEP chaired; a PEP family member is a director of the prospective client. Under Policy Table 7.4, any one of the last three conditions scores 3 on its own.</w:t>
      </w:r>
    </w:p>
    <w:bookmarkEnd w:id="16"/>
    <w:bookmarkStart w:id="17" w:name="f4-sanctions-screening-outcome-3-of-3"/>
    <w:p>
      <w:pPr>
        <w:pStyle w:val="Heading3"/>
      </w:pPr>
      <w:r>
        <w:rPr>
          <w:rStyle w:val="SectionNumber"/>
        </w:rPr>
        <w:t xml:space="preserve">1.6.4</w:t>
      </w:r>
      <w:r>
        <w:tab/>
      </w:r>
      <w:r>
        <w:t xml:space="preserve">6.4 F4, sanctions screening outcome: 3 of 3</w:t>
      </w:r>
    </w:p>
    <w:p>
      <w:pPr>
        <w:pStyle w:val="FirstParagraph"/>
      </w:pPr>
      <w:r>
        <w:t xml:space="preserve">An unresolved potential SDN match at 94.1 similarity on the ultimate beneficial owner, plus a 50 percent rule exposure on the transaction counterparty. Policy Section 8.2 provides that an unresolved potential match on a beneficial owner scores 3 and blocks acceptance regardless of the composite. This factor alone is dispositive.</w:t>
      </w:r>
    </w:p>
    <w:bookmarkEnd w:id="17"/>
    <w:bookmarkStart w:id="18" w:name="Xa850c86bbbfa23cf4314c90c46e3d31742135ba"/>
    <w:p>
      <w:pPr>
        <w:pStyle w:val="Heading3"/>
      </w:pPr>
      <w:r>
        <w:rPr>
          <w:rStyle w:val="SectionNumber"/>
        </w:rPr>
        <w:t xml:space="preserve">1.6.5</w:t>
      </w:r>
      <w:r>
        <w:tab/>
      </w:r>
      <w:r>
        <w:t xml:space="preserve">6.5 F5, source of funds and payment channel: 3 of 3</w:t>
      </w:r>
    </w:p>
    <w:p>
      <w:pPr>
        <w:pStyle w:val="FirstParagraph"/>
      </w:pPr>
      <w:r>
        <w:t xml:space="preserve">On July 24, 2026 the firm’s trust account received a wire of</w:t>
      </w:r>
      <w:r>
        <w:t xml:space="preserve"> </w:t>
      </w:r>
      <w:r>
        <w:rPr>
          <w:b/>
          <w:bCs/>
        </w:rPr>
        <w:t xml:space="preserve">USD 850,000</w:t>
      </w:r>
      <w:r>
        <w:t xml:space="preserve"> </w:t>
      </w:r>
      <w:r>
        <w:t xml:space="preserve">described as an advance flat fee for the engagement. The wire has three defects:</w:t>
      </w:r>
    </w:p>
    <w:p>
      <w:pPr>
        <w:pStyle w:val="Compact"/>
        <w:numPr>
          <w:ilvl w:val="0"/>
          <w:numId w:val="1002"/>
        </w:numPr>
      </w:pPr>
      <w:r>
        <w:rPr>
          <w:b/>
          <w:bCs/>
        </w:rPr>
        <w:t xml:space="preserve">Third-party payor.</w:t>
      </w:r>
      <w:r>
        <w:t xml:space="preserve"> </w:t>
      </w:r>
      <w:r>
        <w:t xml:space="preserve">The originator was Larkfield Nominees (Mauritius) Ltd., not the prospective client and not any entity in the disclosed ownership chain. No explanation of the relationship was provided before the wire arrived.</w:t>
      </w:r>
    </w:p>
    <w:p>
      <w:pPr>
        <w:pStyle w:val="Compact"/>
        <w:numPr>
          <w:ilvl w:val="0"/>
          <w:numId w:val="1002"/>
        </w:numPr>
      </w:pPr>
      <w:r>
        <w:rPr>
          <w:b/>
          <w:bCs/>
        </w:rPr>
        <w:t xml:space="preserve">Offshore routing without documentation.</w:t>
      </w:r>
      <w:r>
        <w:t xml:space="preserve"> </w:t>
      </w:r>
      <w:r>
        <w:t xml:space="preserve">The funds were routed from a private bank in Mauritius through a correspondent, with an originator-to-beneficiary reference of</w:t>
      </w:r>
      <w:r>
        <w:t xml:space="preserve"> </w:t>
      </w:r>
      <w:r>
        <w:t xml:space="preserve">“PROJECT MERIDIAN ADVISORY.”</w:t>
      </w:r>
      <w:r>
        <w:t xml:space="preserve"> </w:t>
      </w:r>
      <w:r>
        <w:t xml:space="preserve">The firm holds no account-opening documentation, no evidence of the payor’s beneficial ownership, and no source-of-wealth narrative for the funds.</w:t>
      </w:r>
    </w:p>
    <w:p>
      <w:pPr>
        <w:pStyle w:val="Compact"/>
        <w:numPr>
          <w:ilvl w:val="0"/>
          <w:numId w:val="1002"/>
        </w:numPr>
      </w:pPr>
      <w:r>
        <w:rPr>
          <w:b/>
          <w:bCs/>
        </w:rPr>
        <w:t xml:space="preserve">Structure of the fee.</w:t>
      </w:r>
      <w:r>
        <w:t xml:space="preserve"> </w:t>
      </w:r>
      <w:r>
        <w:t xml:space="preserve">An advance flat fee of USD 850,000 for a matter that has not been scoped, with the client requesting in writing on July 24, 2026 that any unused balance be refunded to</w:t>
      </w:r>
      <w:r>
        <w:t xml:space="preserve"> </w:t>
      </w:r>
      <w:r>
        <w:t xml:space="preserve">“an account to be nominated,”</w:t>
      </w:r>
      <w:r>
        <w:t xml:space="preserve"> </w:t>
      </w:r>
      <w:r>
        <w:t xml:space="preserve">which is an account other than the originating account.</w:t>
      </w:r>
    </w:p>
    <w:p>
      <w:pPr>
        <w:pStyle w:val="FirstParagraph"/>
      </w:pPr>
      <w:r>
        <w:t xml:space="preserve">The requesting attorney did not solicit this payment and the client was not invited to fund in advance. Funds arriving before an engagement letter, from a payor who is not the client, to be refunded to a third account, is a movement-of-value pattern rather than a fee payment. Under Policy Section 9.3 the funds were placed on hold in the client trust account on July 24, 2026 and were not applied to any fee. See Part 9 for disposition.</w:t>
      </w:r>
    </w:p>
    <w:bookmarkEnd w:id="18"/>
    <w:bookmarkEnd w:id="19"/>
    <w:bookmarkStart w:id="20" w:name="Xcabc533725551387ffeb311d0542a80e8bb8e09"/>
    <w:p>
      <w:pPr>
        <w:pStyle w:val="Heading2"/>
      </w:pPr>
      <w:r>
        <w:rPr>
          <w:rStyle w:val="SectionNumber"/>
        </w:rPr>
        <w:t xml:space="preserve">1.7</w:t>
      </w:r>
      <w:r>
        <w:tab/>
      </w:r>
      <w:r>
        <w:t xml:space="preserve">7. Duty to Inquire: Questions Asked and Answers Received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 put to the client or its agents</w:t>
            </w:r>
          </w:p>
        </w:tc>
        <w:tc>
          <w:tcPr/>
          <w:p>
            <w:pPr>
              <w:pStyle w:val="Compact"/>
            </w:pPr>
            <w:r>
              <w:t xml:space="preserve">Date</w:t>
            </w:r>
          </w:p>
        </w:tc>
        <w:tc>
          <w:tcPr/>
          <w:p>
            <w:pPr>
              <w:pStyle w:val="Compact"/>
            </w:pPr>
            <w:r>
              <w:t xml:space="preserve">Response</w:t>
            </w:r>
          </w:p>
        </w:tc>
      </w:tr>
      <w:tr>
        <w:tc>
          <w:tcPr/>
          <w:p>
            <w:pPr>
              <w:pStyle w:val="Compact"/>
            </w:pPr>
            <w:r>
              <w:t xml:space="preserve">1</w:t>
            </w:r>
          </w:p>
        </w:tc>
        <w:tc>
          <w:tcPr/>
          <w:p>
            <w:pPr>
              <w:pStyle w:val="Compact"/>
            </w:pPr>
            <w:r>
              <w:t xml:space="preserve">Certified copy of the ultimate beneficial owner’s passport and proof of residential address</w:t>
            </w:r>
          </w:p>
        </w:tc>
        <w:tc>
          <w:tcPr/>
          <w:p>
            <w:pPr>
              <w:pStyle w:val="Compact"/>
            </w:pPr>
            <w:r>
              <w:t xml:space="preserve">2026-07-16</w:t>
            </w:r>
          </w:p>
        </w:tc>
        <w:tc>
          <w:tcPr/>
          <w:p>
            <w:pPr>
              <w:pStyle w:val="Compact"/>
            </w:pPr>
            <w:r>
              <w:t xml:space="preserve">Not produced</w:t>
            </w:r>
          </w:p>
        </w:tc>
      </w:tr>
      <w:tr>
        <w:tc>
          <w:tcPr/>
          <w:p>
            <w:pPr>
              <w:pStyle w:val="Compact"/>
            </w:pPr>
            <w:r>
              <w:t xml:space="preserve">2</w:t>
            </w:r>
          </w:p>
        </w:tc>
        <w:tc>
          <w:tcPr/>
          <w:p>
            <w:pPr>
              <w:pStyle w:val="Compact"/>
            </w:pPr>
            <w:r>
              <w:t xml:space="preserve">Unredacted beneficiary class of the Kavaris Family Settlement, or a trustee’s certificate identifying beneficiaries</w:t>
            </w:r>
          </w:p>
        </w:tc>
        <w:tc>
          <w:tcPr/>
          <w:p>
            <w:pPr>
              <w:pStyle w:val="Compact"/>
            </w:pPr>
            <w:r>
              <w:t xml:space="preserve">2026-07-16</w:t>
            </w:r>
          </w:p>
        </w:tc>
        <w:tc>
          <w:tcPr/>
          <w:p>
            <w:pPr>
              <w:pStyle w:val="Compact"/>
            </w:pPr>
            <w:r>
              <w:t xml:space="preserve">Refused; described as</w:t>
            </w:r>
            <w:r>
              <w:t xml:space="preserve"> </w:t>
            </w:r>
            <w:r>
              <w:t xml:space="preserve">“not customary”</w:t>
            </w:r>
          </w:p>
        </w:tc>
      </w:tr>
      <w:tr>
        <w:tc>
          <w:tcPr/>
          <w:p>
            <w:pPr>
              <w:pStyle w:val="Compact"/>
            </w:pPr>
            <w:r>
              <w:t xml:space="preserve">3</w:t>
            </w:r>
          </w:p>
        </w:tc>
        <w:tc>
          <w:tcPr/>
          <w:p>
            <w:pPr>
              <w:pStyle w:val="Compact"/>
            </w:pPr>
            <w:r>
              <w:t xml:space="preserve">Identity of and relationship to Larkfield Nominees (Mauritius) Ltd.</w:t>
            </w:r>
          </w:p>
        </w:tc>
        <w:tc>
          <w:tcPr/>
          <w:p>
            <w:pPr>
              <w:pStyle w:val="Compact"/>
            </w:pPr>
            <w:r>
              <w:t xml:space="preserve">2026-07-24</w:t>
            </w:r>
          </w:p>
        </w:tc>
        <w:tc>
          <w:tcPr/>
          <w:p>
            <w:pPr>
              <w:pStyle w:val="Compact"/>
            </w:pPr>
            <w:r>
              <w:t xml:space="preserve">“A group treasury vehicle.”</w:t>
            </w:r>
            <w:r>
              <w:t xml:space="preserve"> </w:t>
            </w:r>
            <w:r>
              <w:t xml:space="preserve">No corporate documents produced.</w:t>
            </w:r>
          </w:p>
        </w:tc>
      </w:tr>
      <w:tr>
        <w:tc>
          <w:tcPr/>
          <w:p>
            <w:pPr>
              <w:pStyle w:val="Compact"/>
            </w:pPr>
            <w:r>
              <w:t xml:space="preserve">4</w:t>
            </w:r>
          </w:p>
        </w:tc>
        <w:tc>
          <w:tcPr/>
          <w:p>
            <w:pPr>
              <w:pStyle w:val="Compact"/>
            </w:pPr>
            <w:r>
              <w:t xml:space="preserve">Source of wealth narrative for the ultimate beneficial owner covering 2015 to 2021</w:t>
            </w:r>
          </w:p>
        </w:tc>
        <w:tc>
          <w:tcPr/>
          <w:p>
            <w:pPr>
              <w:pStyle w:val="Compact"/>
            </w:pPr>
            <w:r>
              <w:t xml:space="preserve">2026-07-17</w:t>
            </w:r>
          </w:p>
        </w:tc>
        <w:tc>
          <w:tcPr/>
          <w:p>
            <w:pPr>
              <w:pStyle w:val="Compact"/>
            </w:pPr>
            <w:r>
              <w:t xml:space="preserve">Two-paragraph unsourced summary attributing wealth to</w:t>
            </w:r>
            <w:r>
              <w:t xml:space="preserve"> </w:t>
            </w:r>
            <w:r>
              <w:t xml:space="preserve">“pre-office private investments”</w:t>
            </w:r>
          </w:p>
        </w:tc>
      </w:tr>
      <w:tr>
        <w:tc>
          <w:tcPr/>
          <w:p>
            <w:pPr>
              <w:pStyle w:val="Compact"/>
            </w:pPr>
            <w:r>
              <w:t xml:space="preserve">5</w:t>
            </w:r>
          </w:p>
        </w:tc>
        <w:tc>
          <w:tcPr/>
          <w:p>
            <w:pPr>
              <w:pStyle w:val="Compact"/>
            </w:pPr>
            <w:r>
              <w:t xml:space="preserve">Identity, scope of work, and fee basis of the local relationship consultant</w:t>
            </w:r>
          </w:p>
        </w:tc>
        <w:tc>
          <w:tcPr/>
          <w:p>
            <w:pPr>
              <w:pStyle w:val="Compact"/>
            </w:pPr>
            <w:r>
              <w:t xml:space="preserve">2026-07-17</w:t>
            </w:r>
          </w:p>
        </w:tc>
        <w:tc>
          <w:tcPr/>
          <w:p>
            <w:pPr>
              <w:pStyle w:val="Compact"/>
            </w:pPr>
            <w:r>
              <w:t xml:space="preserve">Declined;</w:t>
            </w:r>
            <w:r>
              <w:t xml:space="preserve"> </w:t>
            </w:r>
            <w:r>
              <w:t xml:space="preserve">“the consultant works for the seller side”</w:t>
            </w:r>
          </w:p>
        </w:tc>
      </w:tr>
      <w:tr>
        <w:tc>
          <w:tcPr/>
          <w:p>
            <w:pPr>
              <w:pStyle w:val="Compact"/>
            </w:pPr>
            <w:r>
              <w:t xml:space="preserve">6</w:t>
            </w:r>
          </w:p>
        </w:tc>
        <w:tc>
          <w:tcPr/>
          <w:p>
            <w:pPr>
              <w:pStyle w:val="Compact"/>
            </w:pPr>
            <w:r>
              <w:t xml:space="preserve">Written confirmation that no current or former public official holds any direct or indirect economic interest in the acquisition vehicle</w:t>
            </w:r>
          </w:p>
        </w:tc>
        <w:tc>
          <w:tcPr/>
          <w:p>
            <w:pPr>
              <w:pStyle w:val="Compact"/>
            </w:pPr>
            <w:r>
              <w:t xml:space="preserve">2026-07-17</w:t>
            </w:r>
          </w:p>
        </w:tc>
        <w:tc>
          <w:tcPr/>
          <w:p>
            <w:pPr>
              <w:pStyle w:val="Compact"/>
            </w:pPr>
            <w:r>
              <w:t xml:space="preserve">Not provided</w:t>
            </w:r>
          </w:p>
        </w:tc>
      </w:tr>
    </w:tbl>
    <w:p>
      <w:pPr>
        <w:pStyle w:val="BodyText"/>
      </w:pPr>
      <w:r>
        <w:t xml:space="preserve">Six inquiries, one partial answer, five unanswered or refused. Under ABA Formal Opinion 491 the failure of a client to answer the very questions that would dispel a high probability of illegality is itself a fact the lawyer must weigh. The firm does not have a duty to accept an assurance it has asked for and not received.</w:t>
      </w:r>
    </w:p>
    <w:bookmarkEnd w:id="20"/>
    <w:bookmarkStart w:id="21" w:name="recommendation"/>
    <w:p>
      <w:pPr>
        <w:pStyle w:val="Heading2"/>
      </w:pPr>
      <w:r>
        <w:rPr>
          <w:rStyle w:val="SectionNumber"/>
        </w:rPr>
        <w:t xml:space="preserve">1.8</w:t>
      </w:r>
      <w:r>
        <w:tab/>
      </w:r>
      <w:r>
        <w:t xml:space="preserve">8. Recommendation</w:t>
      </w:r>
    </w:p>
    <w:p>
      <w:pPr>
        <w:pStyle w:val="FirstParagraph"/>
      </w:pPr>
      <w:r>
        <w:rPr>
          <w:b/>
          <w:bCs/>
        </w:rPr>
        <w:t xml:space="preserve">DECLINE.</w:t>
      </w:r>
      <w:r>
        <w:t xml:space="preserve"> </w:t>
      </w:r>
      <w:r>
        <w:t xml:space="preserve">The recommendation does not rest on the composite score alone. It rests on three independent grounds, any one of which is sufficient:</w:t>
      </w:r>
    </w:p>
    <w:p>
      <w:pPr>
        <w:pStyle w:val="Compact"/>
        <w:numPr>
          <w:ilvl w:val="0"/>
          <w:numId w:val="1003"/>
        </w:numPr>
      </w:pPr>
      <w:r>
        <w:t xml:space="preserve">The potential SDN match on the ultimate beneficial owner is unresolved and cannot be resolved on the documents the client is willing to produce. Acting without resolving it risks a strict-liability sanctions violation.</w:t>
      </w:r>
    </w:p>
    <w:p>
      <w:pPr>
        <w:pStyle w:val="Compact"/>
        <w:numPr>
          <w:ilvl w:val="0"/>
          <w:numId w:val="1003"/>
        </w:numPr>
      </w:pPr>
      <w:r>
        <w:t xml:space="preserve">The engagement would place the firm in a transaction with a state-owned counterparty where regulatory approvals are being handled by an undisclosed intermediary on a success fee. The firm cannot advise on, or paper, a transaction whose approval mechanism it is not permitted to see.</w:t>
      </w:r>
    </w:p>
    <w:p>
      <w:pPr>
        <w:pStyle w:val="Compact"/>
        <w:numPr>
          <w:ilvl w:val="0"/>
          <w:numId w:val="1003"/>
        </w:numPr>
      </w:pPr>
      <w:r>
        <w:t xml:space="preserve">The advance payment is a third-party offshore wire with a requested refund to a different account. Accepting it and later returning it to a nominated account would make the firm’s trust account a transmission channel.</w:t>
      </w:r>
    </w:p>
    <w:p>
      <w:pPr>
        <w:pStyle w:val="FirstParagraph"/>
      </w:pPr>
      <w:r>
        <w:t xml:space="preserve">Conditional acceptance was considered and rejected. Conditions can cure information gaps; they cannot cure a client’s refusal to close them.</w:t>
      </w:r>
    </w:p>
    <w:bookmarkEnd w:id="21"/>
    <w:bookmarkStart w:id="22" w:name="committee-decision-and-disposition"/>
    <w:p>
      <w:pPr>
        <w:pStyle w:val="Heading2"/>
      </w:pPr>
      <w:r>
        <w:rPr>
          <w:rStyle w:val="SectionNumber"/>
        </w:rPr>
        <w:t xml:space="preserve">1.9</w:t>
      </w:r>
      <w:r>
        <w:tab/>
      </w:r>
      <w:r>
        <w:t xml:space="preserve">9. Committee Decision and Disposition</w:t>
      </w:r>
    </w:p>
    <w:p>
      <w:pPr>
        <w:pStyle w:val="FirstParagraph"/>
      </w:pPr>
      <w:r>
        <w:rPr>
          <w:b/>
          <w:bCs/>
        </w:rPr>
        <w:t xml:space="preserve">Decision:</w:t>
      </w:r>
      <w:r>
        <w:t xml:space="preserve"> </w:t>
      </w:r>
      <w:r>
        <w:t xml:space="preserve">DECLINED. Financial Crime and Client Acceptance Committee, July 31, 2026. Voting members: Rosalind M. Achebe (Chair, General Counsel), Beatrice A. Lindqvist (Director of Client Risk and Financial Crime), Gerald P. Ravenscroft (requesting partner, recused from the vote and present for questions only). Unanimous.</w:t>
      </w:r>
    </w:p>
    <w:p>
      <w:pPr>
        <w:pStyle w:val="BodyText"/>
      </w:pPr>
      <w:r>
        <w:rPr>
          <w:b/>
          <w:bCs/>
        </w:rPr>
        <w:t xml:space="preserve">Actions taken.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Action</w:t>
            </w:r>
          </w:p>
        </w:tc>
        <w:tc>
          <w:tcPr/>
          <w:p>
            <w:pPr>
              <w:pStyle w:val="Compact"/>
            </w:pPr>
            <w:r>
              <w:t xml:space="preserve">Owner</w:t>
            </w:r>
          </w:p>
        </w:tc>
        <w:tc>
          <w:tcPr/>
          <w:p>
            <w:pPr>
              <w:pStyle w:val="Compact"/>
            </w:pPr>
            <w:r>
              <w:t xml:space="preserve">Date</w:t>
            </w:r>
          </w:p>
        </w:tc>
        <w:tc>
          <w:tcPr/>
          <w:p>
            <w:pPr>
              <w:pStyle w:val="Compact"/>
            </w:pPr>
            <w:r>
              <w:t xml:space="preserve">Status</w:t>
            </w:r>
          </w:p>
        </w:tc>
      </w:tr>
      <w:tr>
        <w:tc>
          <w:tcPr/>
          <w:p>
            <w:pPr>
              <w:pStyle w:val="Compact"/>
            </w:pPr>
            <w:r>
              <w:t xml:space="preserve">1</w:t>
            </w:r>
          </w:p>
        </w:tc>
        <w:tc>
          <w:tcPr/>
          <w:p>
            <w:pPr>
              <w:pStyle w:val="Compact"/>
            </w:pPr>
            <w:r>
              <w:t xml:space="preserve">Written notice to the prospective client that the firm declines the engagement. Notice states that the firm declines and does not state the reasons, so as not to tip off.</w:t>
            </w:r>
          </w:p>
        </w:tc>
        <w:tc>
          <w:tcPr/>
          <w:p>
            <w:pPr>
              <w:pStyle w:val="Compact"/>
            </w:pPr>
            <w:r>
              <w:t xml:space="preserve">B. A. Lindqvist</w:t>
            </w:r>
          </w:p>
        </w:tc>
        <w:tc>
          <w:tcPr/>
          <w:p>
            <w:pPr>
              <w:pStyle w:val="Compact"/>
            </w:pPr>
            <w:r>
              <w:t xml:space="preserve">2026-07-31</w:t>
            </w:r>
          </w:p>
        </w:tc>
        <w:tc>
          <w:tcPr/>
          <w:p>
            <w:pPr>
              <w:pStyle w:val="Compact"/>
            </w:pPr>
            <w:r>
              <w:t xml:space="preserve">Complete</w:t>
            </w:r>
          </w:p>
        </w:tc>
      </w:tr>
      <w:tr>
        <w:tc>
          <w:tcPr/>
          <w:p>
            <w:pPr>
              <w:pStyle w:val="Compact"/>
            </w:pPr>
            <w:r>
              <w:t xml:space="preserve">2</w:t>
            </w:r>
          </w:p>
        </w:tc>
        <w:tc>
          <w:tcPr/>
          <w:p>
            <w:pPr>
              <w:pStyle w:val="Compact"/>
            </w:pPr>
            <w:r>
              <w:t xml:space="preserve">Return the USD 850,000</w:t>
            </w:r>
            <w:r>
              <w:t xml:space="preserve"> </w:t>
            </w:r>
            <w:r>
              <w:rPr>
                <w:b/>
                <w:bCs/>
              </w:rPr>
              <w:t xml:space="preserve">to the originating account at the originating institution only</w:t>
            </w:r>
            <w:r>
              <w:t xml:space="preserve">. No refund to any nominated alternative account. Refund executed with an originator reference identifying the original wire.</w:t>
            </w:r>
          </w:p>
        </w:tc>
        <w:tc>
          <w:tcPr/>
          <w:p>
            <w:pPr>
              <w:pStyle w:val="Compact"/>
            </w:pPr>
            <w:r>
              <w:t xml:space="preserve">Firm Finance, approved by B. A. Lindqvist</w:t>
            </w:r>
          </w:p>
        </w:tc>
        <w:tc>
          <w:tcPr/>
          <w:p>
            <w:pPr>
              <w:pStyle w:val="Compact"/>
            </w:pPr>
            <w:r>
              <w:t xml:space="preserve">2026-08-11</w:t>
            </w:r>
          </w:p>
        </w:tc>
        <w:tc>
          <w:tcPr/>
          <w:p>
            <w:pPr>
              <w:pStyle w:val="Compact"/>
            </w:pPr>
            <w:r>
              <w:t xml:space="preserve">Complete</w:t>
            </w:r>
          </w:p>
        </w:tc>
      </w:tr>
      <w:tr>
        <w:tc>
          <w:tcPr/>
          <w:p>
            <w:pPr>
              <w:pStyle w:val="Compact"/>
            </w:pPr>
            <w:r>
              <w:t xml:space="preserve">3</w:t>
            </w:r>
          </w:p>
        </w:tc>
        <w:tc>
          <w:tcPr/>
          <w:p>
            <w:pPr>
              <w:pStyle w:val="Compact"/>
            </w:pPr>
            <w:r>
              <w:t xml:space="preserve">Record the prospective client, the ownership chain entities, Larkfield Nominees (Mauritius) Ltd., and the named individuals in the firm’s declined-matter register, flagged DO-NOT-ONBOARD with a three-year review date</w:t>
            </w:r>
          </w:p>
        </w:tc>
        <w:tc>
          <w:tcPr/>
          <w:p>
            <w:pPr>
              <w:pStyle w:val="Compact"/>
            </w:pPr>
            <w:r>
              <w:t xml:space="preserve">T. E. Delgadillo</w:t>
            </w:r>
          </w:p>
        </w:tc>
        <w:tc>
          <w:tcPr/>
          <w:p>
            <w:pPr>
              <w:pStyle w:val="Compact"/>
            </w:pPr>
            <w:r>
              <w:t xml:space="preserve">2026-07-31</w:t>
            </w:r>
          </w:p>
        </w:tc>
        <w:tc>
          <w:tcPr/>
          <w:p>
            <w:pPr>
              <w:pStyle w:val="Compact"/>
            </w:pPr>
            <w:r>
              <w:t xml:space="preserve">Complete</w:t>
            </w:r>
          </w:p>
        </w:tc>
      </w:tr>
      <w:tr>
        <w:tc>
          <w:tcPr/>
          <w:p>
            <w:pPr>
              <w:pStyle w:val="Compact"/>
            </w:pPr>
            <w:r>
              <w:t xml:space="preserve">4</w:t>
            </w:r>
          </w:p>
        </w:tc>
        <w:tc>
          <w:tcPr/>
          <w:p>
            <w:pPr>
              <w:pStyle w:val="Compact"/>
            </w:pPr>
            <w:r>
              <w:t xml:space="preserve">Preserve all intake materials, screening output, correspondence, and this record for 10 years under the Policy retention schedule; place under legal hold pending the review in item 5</w:t>
            </w:r>
          </w:p>
        </w:tc>
        <w:tc>
          <w:tcPr/>
          <w:p>
            <w:pPr>
              <w:pStyle w:val="Compact"/>
            </w:pPr>
            <w:r>
              <w:t xml:space="preserve">T. E. Delgadillo</w:t>
            </w:r>
          </w:p>
        </w:tc>
        <w:tc>
          <w:tcPr/>
          <w:p>
            <w:pPr>
              <w:pStyle w:val="Compact"/>
            </w:pPr>
            <w:r>
              <w:t xml:space="preserve">2026-07-31</w:t>
            </w:r>
          </w:p>
        </w:tc>
        <w:tc>
          <w:tcPr/>
          <w:p>
            <w:pPr>
              <w:pStyle w:val="Compact"/>
            </w:pPr>
            <w:r>
              <w:t xml:space="preserve">Complete</w:t>
            </w:r>
          </w:p>
        </w:tc>
      </w:tr>
      <w:tr>
        <w:tc>
          <w:tcPr/>
          <w:p>
            <w:pPr>
              <w:pStyle w:val="Compact"/>
            </w:pPr>
            <w:r>
              <w:t xml:space="preserve">5</w:t>
            </w:r>
          </w:p>
        </w:tc>
        <w:tc>
          <w:tcPr/>
          <w:p>
            <w:pPr>
              <w:pStyle w:val="Compact"/>
            </w:pPr>
            <w:r>
              <w:t xml:space="preserve">Refer to outside sanctions counsel the narrow question whether the firm has any voluntary reporting exposure, and whether the receipt and return of the wire requires any filing</w:t>
            </w:r>
          </w:p>
        </w:tc>
        <w:tc>
          <w:tcPr/>
          <w:p>
            <w:pPr>
              <w:pStyle w:val="Compact"/>
            </w:pPr>
            <w:r>
              <w:t xml:space="preserve">R. M. Achebe</w:t>
            </w:r>
          </w:p>
        </w:tc>
        <w:tc>
          <w:tcPr/>
          <w:p>
            <w:pPr>
              <w:pStyle w:val="Compact"/>
            </w:pPr>
            <w:r>
              <w:t xml:space="preserve">2026-09-30</w:t>
            </w:r>
          </w:p>
        </w:tc>
        <w:tc>
          <w:tcPr/>
          <w:p>
            <w:pPr>
              <w:pStyle w:val="Compact"/>
            </w:pPr>
            <w:r>
              <w:t xml:space="preserve">Open</w:t>
            </w:r>
          </w:p>
        </w:tc>
      </w:tr>
      <w:tr>
        <w:tc>
          <w:tcPr/>
          <w:p>
            <w:pPr>
              <w:pStyle w:val="Compact"/>
            </w:pPr>
            <w:r>
              <w:t xml:space="preserve">6</w:t>
            </w:r>
          </w:p>
        </w:tc>
        <w:tc>
          <w:tcPr/>
          <w:p>
            <w:pPr>
              <w:pStyle w:val="Compact"/>
            </w:pPr>
            <w:r>
              <w:t xml:space="preserve">Remove Sébastien Marchal from the introducer list; no further matters accepted through this source without Committee approval</w:t>
            </w:r>
          </w:p>
        </w:tc>
        <w:tc>
          <w:tcPr/>
          <w:p>
            <w:pPr>
              <w:pStyle w:val="Compact"/>
            </w:pPr>
            <w:r>
              <w:t xml:space="preserve">R. M. Achebe</w:t>
            </w:r>
          </w:p>
        </w:tc>
        <w:tc>
          <w:tcPr/>
          <w:p>
            <w:pPr>
              <w:pStyle w:val="Compact"/>
            </w:pPr>
            <w:r>
              <w:t xml:space="preserve">2026-07-31</w:t>
            </w:r>
          </w:p>
        </w:tc>
        <w:tc>
          <w:tcPr/>
          <w:p>
            <w:pPr>
              <w:pStyle w:val="Compact"/>
            </w:pPr>
            <w:r>
              <w:t xml:space="preserve">Complete</w:t>
            </w:r>
          </w:p>
        </w:tc>
      </w:tr>
    </w:tbl>
    <w:p>
      <w:pPr>
        <w:pStyle w:val="BodyText"/>
      </w:pPr>
      <w:r>
        <w:rPr>
          <w:b/>
          <w:bCs/>
        </w:rPr>
        <w:t xml:space="preserve">Confidentiality of the decline.</w:t>
      </w:r>
      <w:r>
        <w:t xml:space="preserve"> </w:t>
      </w:r>
      <w:r>
        <w:t xml:space="preserve">The fact of the decline, the reasons, and this record are confidential. The notice in item 1 was deliberately non-specific. Nothing in this record may be disclosed to the prospective client, its agents, or the introducer.</w:t>
      </w:r>
    </w:p>
    <w:bookmarkEnd w:id="22"/>
    <w:bookmarkStart w:id="23" w:name="certification"/>
    <w:p>
      <w:pPr>
        <w:pStyle w:val="Heading2"/>
      </w:pPr>
      <w:r>
        <w:rPr>
          <w:rStyle w:val="SectionNumber"/>
        </w:rPr>
        <w:t xml:space="preserve">1.10</w:t>
      </w:r>
      <w:r>
        <w:tab/>
      </w:r>
      <w:r>
        <w:t xml:space="preserve">10. Certification</w:t>
      </w:r>
    </w:p>
    <w:p>
      <w:pPr>
        <w:pStyle w:val="FirstParagraph"/>
      </w:pPr>
      <w:r>
        <w:t xml:space="preserve">I prepared this assessment. The screening results in Part 5 are reproduced from the provider output of July 10 and July 24, 2026, which is retained with this record. The scoring in Part 6 applies the Policy tables in force on the date of assessment.</w:t>
      </w:r>
    </w:p>
    <w:p>
      <w:pPr>
        <w:pStyle w:val="BodyText"/>
      </w:pPr>
      <w:r>
        <w:t xml:space="preserve">Tomás E. Delgadillo, Client Due Diligence Analyst</w:t>
      </w:r>
      <w:r>
        <w:t xml:space="preserve"> </w:t>
      </w:r>
      <w:r>
        <w:t xml:space="preserve">Date: July 30, 2026</w:t>
      </w:r>
    </w:p>
    <w:p>
      <w:pPr>
        <w:pStyle w:val="BodyText"/>
      </w:pPr>
      <w:r>
        <w:t xml:space="preserve">I have reviewed the assessment and concur in the recommendation in Part 8.</w:t>
      </w:r>
    </w:p>
    <w:p>
      <w:pPr>
        <w:pStyle w:val="BodyText"/>
      </w:pPr>
      <w:r>
        <w:t xml:space="preserve">Beatrice A. Lindqvist, Director of Client Risk and Financial Crime</w:t>
      </w:r>
      <w:r>
        <w:t xml:space="preserve"> </w:t>
      </w:r>
      <w:r>
        <w:t xml:space="preserve">Date: July 30, 2026</w:t>
      </w:r>
    </w:p>
    <w:p>
      <w:pPr>
        <w:pStyle w:val="BodyText"/>
      </w:pPr>
      <w:r>
        <w:t xml:space="preserve">The Committee adopted the recommendation without modification.</w:t>
      </w:r>
    </w:p>
    <w:p>
      <w:pPr>
        <w:pStyle w:val="BodyText"/>
      </w:pPr>
      <w:r>
        <w:t xml:space="preserve">Rosalind M. Achebe, General Counsel, Chair</w:t>
      </w:r>
      <w:r>
        <w:t xml:space="preserve"> </w:t>
      </w:r>
      <w:r>
        <w:t xml:space="preserve">Date: July 31, 2026</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2026-08-09T01:49:53Z</dcterms:created>
  <dcterms:modified xsi:type="dcterms:W3CDTF">2026-08-09T01:49:53Z</dcterms:modified>
</cp:coreProperties>
</file>

<file path=docProps/custom.xml><?xml version="1.0" encoding="utf-8"?>
<Properties xmlns="http://schemas.openxmlformats.org/officeDocument/2006/custom-properties" xmlns:vt="http://schemas.openxmlformats.org/officeDocument/2006/docPropsVTypes"/>
</file>