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rPr>
          <w:rStyle w:val="SectionNumber"/>
        </w:rPr>
        <w:t xml:space="preserve">1</w:t>
      </w:r>
      <w:r>
        <w:tab/>
      </w: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rPr>
          <w:rStyle w:val="SectionNumber"/>
        </w:rPr>
        <w:t xml:space="preserve">1.2</w:t>
      </w:r>
      <w:r>
        <w:tab/>
      </w: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rPr>
          <w:rStyle w:val="SectionNumber"/>
        </w:rPr>
        <w:t xml:space="preserve">1.3</w:t>
      </w:r>
      <w:r>
        <w:tab/>
      </w: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rPr>
          <w:rStyle w:val="SectionNumber"/>
        </w:rPr>
        <w:t xml:space="preserve">1.4</w:t>
      </w:r>
      <w:r>
        <w:tab/>
      </w: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rPr>
          <w:rStyle w:val="SectionNumber"/>
        </w:rPr>
        <w:t xml:space="preserve">1.5</w:t>
      </w:r>
      <w:r>
        <w:tab/>
      </w: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rPr>
          <w:rStyle w:val="SectionNumber"/>
        </w:rPr>
        <w:t xml:space="preserve">1.6</w:t>
      </w:r>
      <w:r>
        <w:tab/>
      </w: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four hundred fifty thousand dollars ($450,000)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eighty-five thousand dollars ($85,000)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rPr>
          <w:rStyle w:val="SectionNumber"/>
        </w:rPr>
        <w:t xml:space="preserve">1.7</w:t>
      </w:r>
      <w:r>
        <w:tab/>
      </w: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two (2) times 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two (2) times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rPr>
          <w:rStyle w:val="SectionNumber"/>
        </w:rPr>
        <w:t xml:space="preserve">1.8</w:t>
      </w:r>
      <w:r>
        <w:tab/>
      </w: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rPr>
          <w:rStyle w:val="SectionNumber"/>
        </w:rPr>
        <w:t xml:space="preserve">1.9</w:t>
      </w:r>
      <w:r>
        <w:tab/>
      </w: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rPr>
          <w:rStyle w:val="SectionNumber"/>
        </w:rPr>
        <w:t xml:space="preserve">1.10</w:t>
      </w:r>
      <w:r>
        <w:tab/>
      </w: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rPr>
          <w:rStyle w:val="SectionNumber"/>
        </w:rPr>
        <w:t xml:space="preserve">1.11</w:t>
      </w:r>
      <w:r>
        <w:tab/>
      </w: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rPr>
          <w:rStyle w:val="SectionNumber"/>
        </w:rPr>
        <w:t xml:space="preserve">1.12</w:t>
      </w:r>
      <w:r>
        <w:tab/>
      </w: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rPr>
          <w:rStyle w:val="SectionNumber"/>
        </w:rPr>
        <w:t xml:space="preserve">1.13</w:t>
      </w:r>
      <w:r>
        <w:tab/>
      </w: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rPr>
          <w:rStyle w:val="SectionNumber"/>
        </w:rPr>
        <w:t xml:space="preserve">1.14</w:t>
      </w:r>
      <w:r>
        <w:tab/>
      </w: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rPr>
          <w:rStyle w:val="SectionNumber"/>
        </w:rPr>
        <w:t xml:space="preserve">1.15</w:t>
      </w:r>
      <w:r>
        <w:tab/>
      </w: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rPr>
          <w:rStyle w:val="SectionNumber"/>
        </w:rPr>
        <w:t xml:space="preserve">1.16</w:t>
      </w:r>
      <w:r>
        <w:tab/>
      </w: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rPr>
          <w:rStyle w:val="SectionNumber"/>
        </w:rPr>
        <w:t xml:space="preserve">1.17</w:t>
      </w:r>
      <w:r>
        <w:tab/>
      </w: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rPr>
          <w:rStyle w:val="SectionNumber"/>
        </w:rPr>
        <w:t xml:space="preserve">1.18</w:t>
      </w:r>
      <w:r>
        <w:tab/>
      </w: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rPr>
          <w:rStyle w:val="SectionNumber"/>
        </w:rPr>
        <w:t xml:space="preserve">1.19</w:t>
      </w:r>
      <w:r>
        <w:tab/>
      </w: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rPr>
          <w:rStyle w:val="SectionNumber"/>
        </w:rPr>
        <w:t xml:space="preserve">1.20</w:t>
      </w:r>
      <w:r>
        <w:tab/>
      </w: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rPr>
          <w:rStyle w:val="SectionNumber"/>
        </w:rPr>
        <w:t xml:space="preserve">1.21</w:t>
      </w:r>
      <w:r>
        <w:tab/>
      </w: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rPr>
          <w:rStyle w:val="SectionNumber"/>
        </w:rPr>
        <w:t xml:space="preserve">1.22</w:t>
      </w:r>
      <w:r>
        <w:tab/>
      </w: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rPr>
          <w:rStyle w:val="SectionNumber"/>
        </w:rPr>
        <w:t xml:space="preserve">1.23</w:t>
      </w:r>
      <w:r>
        <w:tab/>
      </w:r>
      <w:r>
        <w:t xml:space="preserve">Exhibit A — Fees and Payment Schedule</w:t>
      </w:r>
    </w:p>
    <w:bookmarkStart w:id="31" w:name="a.1-subscription"/>
    <w:p>
      <w:pPr>
        <w:pStyle w:val="Heading3"/>
      </w:pPr>
      <w:r>
        <w:rPr>
          <w:rStyle w:val="SectionNumber"/>
        </w:rPr>
        <w:t xml:space="preserve">1.23.1</w:t>
      </w:r>
      <w:r>
        <w:tab/>
      </w: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650 named users</w:t>
            </w:r>
          </w:p>
        </w:tc>
      </w:tr>
      <w:tr>
        <w:tc>
          <w:tcPr/>
          <w:p>
            <w:pPr>
              <w:pStyle w:val="Compact"/>
            </w:pPr>
            <w:r>
              <w:t xml:space="preserve">Usage limits</w:t>
            </w:r>
          </w:p>
        </w:tc>
        <w:tc>
          <w:tcPr/>
          <w:p>
            <w:pPr>
              <w:pStyle w:val="Compact"/>
            </w:pPr>
            <w:r>
              <w:t xml:space="preserve">250,000 documents stored; 2,000,000 API calls per month; 10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$450,000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rPr>
          <w:rStyle w:val="SectionNumber"/>
        </w:rPr>
        <w:t xml:space="preserve">1.23.2</w:t>
      </w:r>
      <w:r>
        <w:tab/>
      </w: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$21,250</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$21,250</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$85,000</w:t>
            </w:r>
          </w:p>
        </w:tc>
        <w:tc>
          <w:tcPr/>
          <w:p>
            <w:pPr>
              <w:pStyle w:val="Compact"/>
            </w:pPr>
          </w:p>
        </w:tc>
      </w:tr>
    </w:tbl>
    <w:bookmarkEnd w:id="32"/>
    <w:bookmarkStart w:id="33" w:name="a.3-total-contract-value"/>
    <w:p>
      <w:pPr>
        <w:pStyle w:val="Heading3"/>
      </w:pPr>
      <w:r>
        <w:rPr>
          <w:rStyle w:val="SectionNumber"/>
        </w:rPr>
        <w:t xml:space="preserve">1.23.3</w:t>
      </w:r>
      <w:r>
        <w:tab/>
      </w: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$450,000</w:t>
            </w:r>
          </w:p>
        </w:tc>
      </w:tr>
      <w:tr>
        <w:tc>
          <w:tcPr/>
          <w:p>
            <w:pPr>
              <w:pStyle w:val="Compact"/>
            </w:pPr>
            <w:r>
              <w:t xml:space="preserve">Fixed implementation fee</w:t>
            </w:r>
          </w:p>
        </w:tc>
        <w:tc>
          <w:tcPr/>
          <w:p>
            <w:pPr>
              <w:pStyle w:val="Compact"/>
            </w:pPr>
            <w:r>
              <w:t xml:space="preserve">$85,000</w:t>
            </w:r>
          </w:p>
        </w:tc>
      </w:tr>
      <w:tr>
        <w:tc>
          <w:tcPr/>
          <w:p>
            <w:pPr>
              <w:pStyle w:val="Compact"/>
            </w:pPr>
            <w:r>
              <w:rPr>
                <w:b/>
                <w:bCs/>
              </w:rPr>
              <w:t xml:space="preserve">Total contract value, Initial Term</w:t>
            </w:r>
          </w:p>
        </w:tc>
        <w:tc>
          <w:tcPr/>
          <w:p>
            <w:pPr>
              <w:pStyle w:val="Compact"/>
            </w:pPr>
            <w:r>
              <w:rPr>
                <w:b/>
                <w:bCs/>
              </w:rPr>
              <w:t xml:space="preserve">$535,000</w:t>
            </w:r>
          </w:p>
        </w:tc>
      </w:tr>
    </w:tbl>
    <w:bookmarkEnd w:id="33"/>
    <w:bookmarkStart w:id="34" w:name="a.4-rates-and-overage"/>
    <w:p>
      <w:pPr>
        <w:pStyle w:val="Heading3"/>
      </w:pPr>
      <w:r>
        <w:rPr>
          <w:rStyle w:val="SectionNumber"/>
        </w:rPr>
        <w:t xml:space="preserve">1.23.4</w:t>
      </w:r>
      <w:r>
        <w:tab/>
      </w: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rPr>
          <w:rStyle w:val="SectionNumber"/>
        </w:rPr>
        <w:t xml:space="preserve">1.23.5</w:t>
      </w:r>
      <w:r>
        <w:tab/>
      </w: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$481,500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rPr>
          <w:rStyle w:val="SectionNumber"/>
        </w:rPr>
        <w:t xml:space="preserve">1.24</w:t>
      </w:r>
      <w:r>
        <w:tab/>
      </w:r>
      <w:r>
        <w:t xml:space="preserve">Exhibit B — Implementation Plan and Milestones</w:t>
      </w:r>
    </w:p>
    <w:bookmarkStart w:id="37" w:name="b.1-phases-and-milestones"/>
    <w:p>
      <w:pPr>
        <w:pStyle w:val="Heading3"/>
      </w:pPr>
      <w:r>
        <w:rPr>
          <w:rStyle w:val="SectionNumber"/>
        </w:rPr>
        <w:t xml:space="preserve">1.24.1</w:t>
      </w:r>
      <w:r>
        <w:tab/>
      </w: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rPr>
          <w:rStyle w:val="SectionNumber"/>
        </w:rPr>
        <w:t xml:space="preserve">1.24.2</w:t>
      </w:r>
      <w:r>
        <w:tab/>
      </w: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rPr>
          <w:rStyle w:val="SectionNumber"/>
        </w:rPr>
        <w:t xml:space="preserve">1.24.3</w:t>
      </w:r>
      <w:r>
        <w:tab/>
      </w: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rPr>
          <w:rStyle w:val="SectionNumber"/>
        </w:rPr>
        <w:t xml:space="preserve">1.25</w:t>
      </w:r>
      <w:r>
        <w:tab/>
      </w: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rPr>
          <w:rStyle w:val="SectionNumber"/>
        </w:rPr>
        <w:t xml:space="preserve">1.26</w:t>
      </w:r>
      <w:r>
        <w:tab/>
      </w:r>
      <w:r>
        <w:t xml:space="preserve">Exhibit D — Support and Service Levels</w:t>
      </w:r>
    </w:p>
    <w:bookmarkStart w:id="42" w:name="d.1-availability"/>
    <w:p>
      <w:pPr>
        <w:pStyle w:val="Heading3"/>
      </w:pPr>
      <w:r>
        <w:rPr>
          <w:rStyle w:val="SectionNumber"/>
        </w:rPr>
        <w:t xml:space="preserve">1.26.1</w:t>
      </w:r>
      <w:r>
        <w:tab/>
      </w: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rPr>
          <w:rStyle w:val="SectionNumber"/>
        </w:rPr>
        <w:t xml:space="preserve">1.26.2</w:t>
      </w:r>
      <w:r>
        <w:tab/>
      </w: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rPr>
          <w:rStyle w:val="SectionNumber"/>
        </w:rPr>
        <w:t xml:space="preserve">1.26.3</w:t>
      </w:r>
      <w:r>
        <w:tab/>
      </w: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rPr>
          <w:rStyle w:val="SectionNumber"/>
        </w:rPr>
        <w:t xml:space="preserve">1.26.4</w:t>
      </w:r>
      <w:r>
        <w:tab/>
      </w: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rPr>
          <w:rStyle w:val="SectionNumber"/>
        </w:rPr>
        <w:t xml:space="preserve">1.27</w:t>
      </w:r>
      <w:r>
        <w:tab/>
      </w: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rPr>
          <w:rStyle w:val="SectionNumber"/>
        </w:rPr>
        <w:t xml:space="preserve">1.28</w:t>
      </w:r>
      <w:r>
        <w:tab/>
      </w: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2026-08-09T01:49:51Z</dcterms:created>
  <dcterms:modified xsi:type="dcterms:W3CDTF">2026-08-09T01:49:51Z</dcterms:modified>
</cp:coreProperties>
</file>

<file path=docProps/custom.xml><?xml version="1.0" encoding="utf-8"?>
<Properties xmlns="http://schemas.openxmlformats.org/officeDocument/2006/custom-properties" xmlns:vt="http://schemas.openxmlformats.org/officeDocument/2006/docPropsVTypes"/>
</file>