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59ab83e5764bc2a0e850730f6bb3c1f405b4dac"/>
    <w:p>
      <w:pPr>
        <w:pStyle w:val="Heading1"/>
      </w:pPr>
      <w:r>
        <w:rPr>
          <w:rStyle w:val="SectionNumber"/>
        </w:rPr>
        <w:t xml:space="preserve">1</w:t>
      </w:r>
      <w:r>
        <w:tab/>
      </w:r>
      <w:r>
        <w:t xml:space="preserve">Accounting Policy Memorandum: Capitalization of Internal-Use Software (ASC 350-40)</w:t>
      </w:r>
    </w:p>
    <w:bookmarkStart w:id="9" w:name="document-control"/>
    <w:p>
      <w:pPr>
        <w:pStyle w:val="Heading2"/>
      </w:pPr>
      <w:r>
        <w:rPr>
          <w:rStyle w:val="SectionNumber"/>
        </w:rPr>
        <w:t xml:space="preserve">1.1</w:t>
      </w:r>
      <w:r>
        <w:tab/>
      </w: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Document ID</w:t>
            </w:r>
          </w:p>
        </w:tc>
        <w:tc>
          <w:tcPr/>
          <w:p>
            <w:pPr>
              <w:pStyle w:val="Compact"/>
            </w:pPr>
            <w:r>
              <w:t xml:space="preserve">ADI-FIN-001</w:t>
            </w:r>
          </w:p>
        </w:tc>
      </w:tr>
      <w:tr>
        <w:tc>
          <w:tcPr/>
          <w:p>
            <w:pPr>
              <w:pStyle w:val="Compact"/>
            </w:pPr>
            <w:r>
              <w:t xml:space="preserve">Version</w:t>
            </w:r>
          </w:p>
        </w:tc>
        <w:tc>
          <w:tcPr/>
          <w:p>
            <w:pPr>
              <w:pStyle w:val="Compact"/>
            </w:pPr>
            <w:r>
              <w:t xml:space="preserve">1.0</w:t>
            </w:r>
          </w:p>
        </w:tc>
      </w:tr>
      <w:tr>
        <w:tc>
          <w:tcPr/>
          <w:p>
            <w:pPr>
              <w:pStyle w:val="Compact"/>
            </w:pPr>
            <w:r>
              <w:t xml:space="preserve">Status</w:t>
            </w:r>
          </w:p>
        </w:tc>
        <w:tc>
          <w:tcPr/>
          <w:p>
            <w:pPr>
              <w:pStyle w:val="Compact"/>
            </w:pPr>
            <w:r>
              <w:t xml:space="preserve">Superseded</w:t>
            </w:r>
          </w:p>
        </w:tc>
      </w:tr>
      <w:tr>
        <w:tc>
          <w:tcPr/>
          <w:p>
            <w:pPr>
              <w:pStyle w:val="Compact"/>
            </w:pPr>
            <w:r>
              <w:t xml:space="preserve">Owner</w:t>
            </w:r>
          </w:p>
        </w:tc>
        <w:tc>
          <w:tcPr/>
          <w:p>
            <w:pPr>
              <w:pStyle w:val="Compact"/>
            </w:pPr>
            <w:r>
              <w:t xml:space="preserve">Elias Vantongeren, Manager, Technical Accounting</w:t>
            </w:r>
          </w:p>
        </w:tc>
      </w:tr>
      <w:tr>
        <w:tc>
          <w:tcPr/>
          <w:p>
            <w:pPr>
              <w:pStyle w:val="Compact"/>
            </w:pPr>
            <w:r>
              <w:t xml:space="preserve">Approver</w:t>
            </w:r>
          </w:p>
        </w:tc>
        <w:tc>
          <w:tcPr/>
          <w:p>
            <w:pPr>
              <w:pStyle w:val="Compact"/>
            </w:pPr>
            <w:r>
              <w:t xml:space="preserve">Naomi Feuerbach, Corporate Controller</w:t>
            </w:r>
          </w:p>
        </w:tc>
      </w:tr>
      <w:tr>
        <w:tc>
          <w:tcPr/>
          <w:p>
            <w:pPr>
              <w:pStyle w:val="Compact"/>
            </w:pPr>
            <w:r>
              <w:t xml:space="preserve">Effective Date</w:t>
            </w:r>
          </w:p>
        </w:tc>
        <w:tc>
          <w:tcPr/>
          <w:p>
            <w:pPr>
              <w:pStyle w:val="Compact"/>
            </w:pPr>
            <w:r>
              <w:t xml:space="preserve">2024-02-15</w:t>
            </w:r>
          </w:p>
        </w:tc>
      </w:tr>
      <w:tr>
        <w:tc>
          <w:tcPr/>
          <w:p>
            <w:pPr>
              <w:pStyle w:val="Compact"/>
            </w:pPr>
            <w:r>
              <w:t xml:space="preserve">Last Reviewed</w:t>
            </w:r>
          </w:p>
        </w:tc>
        <w:tc>
          <w:tcPr/>
          <w:p>
            <w:pPr>
              <w:pStyle w:val="Compact"/>
            </w:pPr>
            <w:r>
              <w:t xml:space="preserve">2024-02-15</w:t>
            </w:r>
          </w:p>
        </w:tc>
      </w:tr>
      <w:tr>
        <w:tc>
          <w:tcPr/>
          <w:p>
            <w:pPr>
              <w:pStyle w:val="Compact"/>
            </w:pPr>
            <w:r>
              <w:t xml:space="preserve">Next Review Due</w:t>
            </w:r>
          </w:p>
        </w:tc>
        <w:tc>
          <w:tcPr/>
          <w:p>
            <w:pPr>
              <w:pStyle w:val="Compact"/>
            </w:pPr>
            <w:r>
              <w:t xml:space="preserve">2026-02-15</w:t>
            </w:r>
          </w:p>
        </w:tc>
      </w:tr>
      <w:tr>
        <w:tc>
          <w:tcPr/>
          <w:p>
            <w:pPr>
              <w:pStyle w:val="Compact"/>
            </w:pPr>
            <w:r>
              <w:t xml:space="preserve">Supersedes</w:t>
            </w:r>
          </w:p>
        </w:tc>
        <w:tc>
          <w:tcPr/>
          <w:p>
            <w:pPr>
              <w:pStyle w:val="Compact"/>
            </w:pPr>
            <w:r>
              <w:t xml:space="preserve">None</w:t>
            </w:r>
          </w:p>
        </w:tc>
      </w:tr>
      <w:tr>
        <w:tc>
          <w:tcPr/>
          <w:p>
            <w:pPr>
              <w:pStyle w:val="Compact"/>
            </w:pPr>
            <w:r>
              <w:t xml:space="preserve">Superseded By</w:t>
            </w:r>
          </w:p>
        </w:tc>
        <w:tc>
          <w:tcPr/>
          <w:p>
            <w:pPr>
              <w:pStyle w:val="Compact"/>
            </w:pPr>
            <w:r>
              <w:t xml:space="preserve">ADI-FIN-002</w:t>
            </w:r>
          </w:p>
        </w:tc>
      </w:tr>
    </w:tbl>
    <w:bookmarkEnd w:id="9"/>
    <w:bookmarkStart w:id="10" w:name="memorandum"/>
    <w:p>
      <w:pPr>
        <w:pStyle w:val="Heading2"/>
      </w:pPr>
      <w:r>
        <w:rPr>
          <w:rStyle w:val="SectionNumber"/>
        </w:rPr>
        <w:t xml:space="preserve">1.2</w:t>
      </w:r>
      <w:r>
        <w:tab/>
      </w:r>
      <w:r>
        <w:t xml:space="preserve">Memorandum</w:t>
      </w:r>
    </w:p>
    <w:p>
      <w:pPr>
        <w:pStyle w:val="FirstParagraph"/>
      </w:pPr>
      <w:r>
        <w:rPr>
          <w:b/>
          <w:bCs/>
        </w:rPr>
        <w:t xml:space="preserve">To:</w:t>
      </w:r>
      <w:r>
        <w:t xml:space="preserve"> </w:t>
      </w:r>
      <w:r>
        <w:t xml:space="preserve">Finance Leadership; Engineering Finance Business Partners; Financial Reporting</w:t>
      </w:r>
    </w:p>
    <w:p>
      <w:pPr>
        <w:pStyle w:val="BodyText"/>
      </w:pPr>
      <w:r>
        <w:rPr>
          <w:b/>
          <w:bCs/>
        </w:rPr>
        <w:t xml:space="preserve">From:</w:t>
      </w:r>
      <w:r>
        <w:t xml:space="preserve"> </w:t>
      </w:r>
      <w:r>
        <w:t xml:space="preserve">Elias Vantongeren, Manager, Technical Accounting</w:t>
      </w:r>
    </w:p>
    <w:p>
      <w:pPr>
        <w:pStyle w:val="BodyText"/>
      </w:pPr>
      <w:r>
        <w:rPr>
          <w:b/>
          <w:bCs/>
        </w:rPr>
        <w:t xml:space="preserve">Date:</w:t>
      </w:r>
      <w:r>
        <w:t xml:space="preserve"> </w:t>
      </w:r>
      <w:r>
        <w:t xml:space="preserve">February 15, 2024</w:t>
      </w:r>
    </w:p>
    <w:p>
      <w:pPr>
        <w:pStyle w:val="BodyText"/>
      </w:pPr>
      <w:r>
        <w:rPr>
          <w:b/>
          <w:bCs/>
        </w:rPr>
        <w:t xml:space="preserve">Subject:</w:t>
      </w:r>
      <w:r>
        <w:t xml:space="preserve"> </w:t>
      </w:r>
      <w:r>
        <w:t xml:space="preserve">Capitalization of costs incurred to develop or obtain internal-use software under ASC 350-40</w:t>
      </w:r>
    </w:p>
    <w:bookmarkEnd w:id="10"/>
    <w:bookmarkStart w:id="11" w:name="purpose"/>
    <w:p>
      <w:pPr>
        <w:pStyle w:val="Heading2"/>
      </w:pPr>
      <w:r>
        <w:rPr>
          <w:rStyle w:val="SectionNumber"/>
        </w:rPr>
        <w:t xml:space="preserve">1.3</w:t>
      </w:r>
      <w:r>
        <w:tab/>
      </w:r>
      <w:r>
        <w:t xml:space="preserve">1. Purpose</w:t>
      </w:r>
    </w:p>
    <w:p>
      <w:pPr>
        <w:pStyle w:val="FirstParagraph"/>
      </w:pPr>
      <w:r>
        <w:t xml:space="preserve">This memorandum documents the Company’s accounting policy for costs incurred to develop or obtain software for internal use, and establishes the rules by which those costs are identified, captured, capitalized, and amortized. It is applied by Technical Accounting and by the finance business partners supporting engineering, and supports the position taken in the Company’s financial statements.</w:t>
      </w:r>
    </w:p>
    <w:bookmarkEnd w:id="11"/>
    <w:bookmarkStart w:id="12" w:name="background"/>
    <w:p>
      <w:pPr>
        <w:pStyle w:val="Heading2"/>
      </w:pPr>
      <w:r>
        <w:rPr>
          <w:rStyle w:val="SectionNumber"/>
        </w:rPr>
        <w:t xml:space="preserve">1.4</w:t>
      </w:r>
      <w:r>
        <w:tab/>
      </w:r>
      <w:r>
        <w:t xml:space="preserve">2. Background</w:t>
      </w:r>
    </w:p>
    <w:p>
      <w:pPr>
        <w:pStyle w:val="FirstParagraph"/>
      </w:pPr>
      <w:r>
        <w:t xml:space="preserve">The Company’s engineering organization builds and maintains internally developed software supporting the platform, including the customer-facing application, the data pipeline, and internal operating tools. These costs were historically expensed as incurred, on the basis that individual efforts were immaterial and hard to separate from routine maintenance. Engineering headcount and the size of discrete initiatives have grown to the point where that treatment is no longer supportable.</w:t>
      </w:r>
    </w:p>
    <w:bookmarkEnd w:id="12"/>
    <w:bookmarkStart w:id="13" w:name="scope"/>
    <w:p>
      <w:pPr>
        <w:pStyle w:val="Heading2"/>
      </w:pPr>
      <w:r>
        <w:rPr>
          <w:rStyle w:val="SectionNumber"/>
        </w:rPr>
        <w:t xml:space="preserve">1.5</w:t>
      </w:r>
      <w:r>
        <w:tab/>
      </w:r>
      <w:r>
        <w:t xml:space="preserve">3. Scope</w:t>
      </w:r>
    </w:p>
    <w:p>
      <w:pPr>
        <w:pStyle w:val="FirstParagraph"/>
      </w:pPr>
      <w:r>
        <w:t xml:space="preserve">This memorandum covers software acquired, internally developed, or modified solely to meet the Company’s internal needs, where no substantive plan exists to market it externally. It applies to internally developed platform software delivered to customers as a hosted service, which is accounted for as internal-use software rather than under ASC 985-20 because the customer does not take possession of the software. Software licensed to customers for installation on their own systems is outside scope.</w:t>
      </w:r>
    </w:p>
    <w:bookmarkEnd w:id="13"/>
    <w:bookmarkStart w:id="19" w:name="analysis"/>
    <w:p>
      <w:pPr>
        <w:pStyle w:val="Heading2"/>
      </w:pPr>
      <w:r>
        <w:rPr>
          <w:rStyle w:val="SectionNumber"/>
        </w:rPr>
        <w:t xml:space="preserve">1.6</w:t>
      </w:r>
      <w:r>
        <w:tab/>
      </w:r>
      <w:r>
        <w:t xml:space="preserve">4. Analysis</w:t>
      </w:r>
    </w:p>
    <w:p>
      <w:pPr>
        <w:pStyle w:val="FirstParagraph"/>
      </w:pPr>
      <w:r>
        <w:t xml:space="preserve">ASC 350-40 requires costs to be assessed against the stage of the project in which they are incurred. The stages are sequential in concept, though a large project may have components in different stages at the same time.</w:t>
      </w:r>
    </w:p>
    <w:bookmarkStart w:id="14" w:name="preliminary-project-stage"/>
    <w:p>
      <w:pPr>
        <w:pStyle w:val="Heading3"/>
      </w:pPr>
      <w:r>
        <w:rPr>
          <w:rStyle w:val="SectionNumber"/>
        </w:rPr>
        <w:t xml:space="preserve">1.6.1</w:t>
      </w:r>
      <w:r>
        <w:tab/>
      </w:r>
      <w:r>
        <w:t xml:space="preserve">4.1 Preliminary Project Stage</w:t>
      </w:r>
    </w:p>
    <w:p>
      <w:pPr>
        <w:pStyle w:val="FirstParagraph"/>
      </w:pPr>
      <w:r>
        <w:t xml:space="preserve">Costs incurred during the preliminary project stage are expensed as incurred. This stage covers conceptual formulation and evaluation of alternatives, determination of the existence of needed technology, and final selection of an alternative. Vendor selection, proof-of-concept work, feasibility studies, and architectural exploration fall here.</w:t>
      </w:r>
    </w:p>
    <w:bookmarkEnd w:id="14"/>
    <w:bookmarkStart w:id="15" w:name="application-development-stage"/>
    <w:p>
      <w:pPr>
        <w:pStyle w:val="Heading3"/>
      </w:pPr>
      <w:r>
        <w:rPr>
          <w:rStyle w:val="SectionNumber"/>
        </w:rPr>
        <w:t xml:space="preserve">1.6.2</w:t>
      </w:r>
      <w:r>
        <w:tab/>
      </w:r>
      <w:r>
        <w:t xml:space="preserve">4.2 Application Development Stage</w:t>
      </w:r>
    </w:p>
    <w:p>
      <w:pPr>
        <w:pStyle w:val="FirstParagraph"/>
      </w:pPr>
      <w:r>
        <w:t xml:space="preserve">Costs incurred during the application development stage are capitalized once two conditions are met: the preliminary project stage is complete, and management having the relevant authority has authorized and committed to funding the project, such that it is probable the project will be completed and the software used to perform the function intended.</w:t>
      </w:r>
    </w:p>
    <w:p>
      <w:pPr>
        <w:pStyle w:val="BodyText"/>
      </w:pPr>
      <w:r>
        <w:t xml:space="preserve">Capitalizable costs include external direct costs of materials and services consumed in developing the software, payroll and payroll-related costs for employees to the extent of time spent directly on the project, and interest cost where applicable under ASC 835-20. Training costs, and data conversion costs other than the cost to develop or obtain software that allows access to or conversion of old data, are expensed as incurred even when they occur during this stage.</w:t>
      </w:r>
    </w:p>
    <w:bookmarkEnd w:id="15"/>
    <w:bookmarkStart w:id="16" w:name="post-implementation-and-operation-stage"/>
    <w:p>
      <w:pPr>
        <w:pStyle w:val="Heading3"/>
      </w:pPr>
      <w:r>
        <w:rPr>
          <w:rStyle w:val="SectionNumber"/>
        </w:rPr>
        <w:t xml:space="preserve">1.6.3</w:t>
      </w:r>
      <w:r>
        <w:tab/>
      </w:r>
      <w:r>
        <w:t xml:space="preserve">4.3 Post-Implementation and Operation Stage</w:t>
      </w:r>
    </w:p>
    <w:p>
      <w:pPr>
        <w:pStyle w:val="FirstParagraph"/>
      </w:pPr>
      <w:r>
        <w:t xml:space="preserve">Costs incurred after the software is substantially complete and ready for its intended use are expensed as incurred, including training, maintenance, defect remediation that does not add functionality, and routine operational support. Capitalization ceases at production release, which the Company treats as evidence that the software is ready for its intended use.</w:t>
      </w:r>
    </w:p>
    <w:bookmarkEnd w:id="16"/>
    <w:bookmarkStart w:id="17" w:name="upgrades-and-enhancements"/>
    <w:p>
      <w:pPr>
        <w:pStyle w:val="Heading3"/>
      </w:pPr>
      <w:r>
        <w:rPr>
          <w:rStyle w:val="SectionNumber"/>
        </w:rPr>
        <w:t xml:space="preserve">1.6.4</w:t>
      </w:r>
      <w:r>
        <w:tab/>
      </w:r>
      <w:r>
        <w:t xml:space="preserve">4.4 Upgrades and Enhancements</w:t>
      </w:r>
    </w:p>
    <w:p>
      <w:pPr>
        <w:pStyle w:val="FirstParagraph"/>
      </w:pPr>
      <w:r>
        <w:t xml:space="preserve">Costs of upgrades and enhancements are capitalized only where it is probable that the expenditure will result in additional functionality. Where the cost of an upgrade cannot be separated from maintenance performed at the same time, the entire cost is expensed.</w:t>
      </w:r>
    </w:p>
    <w:bookmarkEnd w:id="17"/>
    <w:bookmarkStart w:id="18" w:name="internal-labor"/>
    <w:p>
      <w:pPr>
        <w:pStyle w:val="Heading3"/>
      </w:pPr>
      <w:r>
        <w:rPr>
          <w:rStyle w:val="SectionNumber"/>
        </w:rPr>
        <w:t xml:space="preserve">1.6.5</w:t>
      </w:r>
      <w:r>
        <w:tab/>
      </w:r>
      <w:r>
        <w:t xml:space="preserve">4.5 Internal Labor</w:t>
      </w:r>
    </w:p>
    <w:p>
      <w:pPr>
        <w:pStyle w:val="FirstParagraph"/>
      </w:pPr>
      <w:r>
        <w:t xml:space="preserve">Internal labor is capitalized at the employee’s fully burdened rate, calculated as base salary plus a benefits load of 28 percent, applied to hours charged to a capitalizable project code in the time-tracking system. Bonus, equity compensation, recruiting costs, and general administrative allocations are excluded from the burden calculation. Time must be recorded contemporaneously, and retroactive reallocation of hours after period close is not permitted.</w:t>
      </w:r>
    </w:p>
    <w:bookmarkEnd w:id="18"/>
    <w:bookmarkEnd w:id="19"/>
    <w:bookmarkStart w:id="20" w:name="policy-conclusion"/>
    <w:p>
      <w:pPr>
        <w:pStyle w:val="Heading2"/>
      </w:pPr>
      <w:r>
        <w:rPr>
          <w:rStyle w:val="SectionNumber"/>
        </w:rPr>
        <w:t xml:space="preserve">1.7</w:t>
      </w:r>
      <w:r>
        <w:tab/>
      </w:r>
      <w:r>
        <w:t xml:space="preserve">5. Policy Conclusion</w:t>
      </w:r>
    </w:p>
    <w:p>
      <w:pPr>
        <w:pStyle w:val="Compact"/>
        <w:numPr>
          <w:ilvl w:val="0"/>
          <w:numId w:val="1001"/>
        </w:numPr>
      </w:pPr>
      <w:r>
        <w:rPr>
          <w:b/>
          <w:bCs/>
        </w:rPr>
        <w:t xml:space="preserve">Threshold.</w:t>
      </w:r>
      <w:r>
        <w:t xml:space="preserve"> </w:t>
      </w:r>
      <w:r>
        <w:t xml:space="preserve">Costs are capitalized only for projects whose total expected capitalizable cost is $25,000 or more per project. Projects below the threshold are expensed as incurred. Projects may not be split to fall below the threshold, and related workstreams delivering a single functional outcome are assessed as one project.</w:t>
      </w:r>
    </w:p>
    <w:p>
      <w:pPr>
        <w:pStyle w:val="Compact"/>
        <w:numPr>
          <w:ilvl w:val="0"/>
          <w:numId w:val="1001"/>
        </w:numPr>
      </w:pPr>
      <w:r>
        <w:rPr>
          <w:b/>
          <w:bCs/>
        </w:rPr>
        <w:t xml:space="preserve">Stage treatment.</w:t>
      </w:r>
      <w:r>
        <w:t xml:space="preserve"> </w:t>
      </w:r>
      <w:r>
        <w:t xml:space="preserve">Preliminary project stage costs are expensed. Application development stage costs meeting the criteria in Section 4.2 are capitalized. Post-implementation stage costs are expensed.</w:t>
      </w:r>
    </w:p>
    <w:p>
      <w:pPr>
        <w:pStyle w:val="Compact"/>
        <w:numPr>
          <w:ilvl w:val="0"/>
          <w:numId w:val="1001"/>
        </w:numPr>
      </w:pPr>
      <w:r>
        <w:rPr>
          <w:b/>
          <w:bCs/>
        </w:rPr>
        <w:t xml:space="preserve">Internal labor.</w:t>
      </w:r>
      <w:r>
        <w:t xml:space="preserve"> </w:t>
      </w:r>
      <w:r>
        <w:t xml:space="preserve">Capitalized at the fully burdened rate, being base salary plus a 28 percent benefits load, supported by contemporaneous time records.</w:t>
      </w:r>
    </w:p>
    <w:p>
      <w:pPr>
        <w:pStyle w:val="Compact"/>
        <w:numPr>
          <w:ilvl w:val="0"/>
          <w:numId w:val="1001"/>
        </w:numPr>
      </w:pPr>
      <w:r>
        <w:rPr>
          <w:b/>
          <w:bCs/>
        </w:rPr>
        <w:t xml:space="preserve">Amortization.</w:t>
      </w:r>
      <w:r>
        <w:t xml:space="preserve"> </w:t>
      </w:r>
      <w:r>
        <w:t xml:space="preserve">Capitalized internal-use software is amortized on a straight-line basis over an estimated useful life of 3 years, beginning in the month the software is placed in service. Amortization is recorded in cost of revenue for platform software and in operating expense for internal tooling.</w:t>
      </w:r>
    </w:p>
    <w:p>
      <w:pPr>
        <w:pStyle w:val="Compact"/>
        <w:numPr>
          <w:ilvl w:val="0"/>
          <w:numId w:val="1001"/>
        </w:numPr>
      </w:pPr>
      <w:r>
        <w:rPr>
          <w:b/>
          <w:bCs/>
        </w:rPr>
        <w:t xml:space="preserve">Authorization.</w:t>
      </w:r>
      <w:r>
        <w:t xml:space="preserve"> </w:t>
      </w:r>
      <w:r>
        <w:t xml:space="preserve">Capitalization begins only after the project appears on the approved capital project list maintained by Technical Accounting, which records the authorizing executive, the funding decision date, and the project code.</w:t>
      </w:r>
    </w:p>
    <w:bookmarkEnd w:id="20"/>
    <w:bookmarkStart w:id="21" w:name="examples"/>
    <w:p>
      <w:pPr>
        <w:pStyle w:val="Heading2"/>
      </w:pPr>
      <w:r>
        <w:rPr>
          <w:rStyle w:val="SectionNumber"/>
        </w:rPr>
        <w:t xml:space="preserve">1.8</w:t>
      </w:r>
      <w:r>
        <w:tab/>
      </w:r>
      <w:r>
        <w:t xml:space="preserve">6. Examples</w:t>
      </w:r>
    </w:p>
    <w:p>
      <w:pPr>
        <w:pStyle w:val="FirstParagraph"/>
      </w:pPr>
      <w:r>
        <w:rPr>
          <w:b/>
          <w:bCs/>
        </w:rPr>
        <w:t xml:space="preserve">Example A.</w:t>
      </w:r>
      <w:r>
        <w:t xml:space="preserve"> </w:t>
      </w:r>
      <w:r>
        <w:t xml:space="preserve">The engineering team spends six weeks and $180,000 evaluating three architectural approaches for a new billing service. All of it is preliminary project stage cost and is expensed, because management has not yet authorized or committed funding to a selected alternative.</w:t>
      </w:r>
    </w:p>
    <w:p>
      <w:pPr>
        <w:pStyle w:val="BodyText"/>
      </w:pPr>
      <w:r>
        <w:rPr>
          <w:b/>
          <w:bCs/>
        </w:rPr>
        <w:t xml:space="preserve">Example B.</w:t>
      </w:r>
      <w:r>
        <w:t xml:space="preserve"> </w:t>
      </w:r>
      <w:r>
        <w:t xml:space="preserve">Following authorization, the billing service is built over five months. Engineering charges 4,100 hours to the project code and the Company pays an external integration firm $210,000. Internal labor is capitalized at base salary plus the 28 percent benefits load, the external cost is capitalized in full, and amortization begins at production release over 3 years.</w:t>
      </w:r>
    </w:p>
    <w:p>
      <w:pPr>
        <w:pStyle w:val="BodyText"/>
      </w:pPr>
      <w:r>
        <w:rPr>
          <w:b/>
          <w:bCs/>
        </w:rPr>
        <w:t xml:space="preserve">Example C.</w:t>
      </w:r>
      <w:r>
        <w:t xml:space="preserve"> </w:t>
      </w:r>
      <w:r>
        <w:t xml:space="preserve">A team spends $19,000 of internal labor building an internal reporting dashboard. The project falls below the $25,000 threshold and is expensed as incurred.</w:t>
      </w:r>
    </w:p>
    <w:p>
      <w:pPr>
        <w:pStyle w:val="BodyText"/>
      </w:pPr>
      <w:r>
        <w:rPr>
          <w:b/>
          <w:bCs/>
        </w:rPr>
        <w:t xml:space="preserve">Example D.</w:t>
      </w:r>
      <w:r>
        <w:t xml:space="preserve"> </w:t>
      </w:r>
      <w:r>
        <w:t xml:space="preserve">After release, the billing service requires 300 hours of defect remediation and 120 hours to add a tax calculation capability. The remediation is expensed. The tax calculation work adds functionality and, if it meets the threshold when assessed as a project, is capitalized.</w:t>
      </w:r>
    </w:p>
    <w:bookmarkEnd w:id="21"/>
    <w:bookmarkStart w:id="22" w:name="controls-and-documentation"/>
    <w:p>
      <w:pPr>
        <w:pStyle w:val="Heading2"/>
      </w:pPr>
      <w:r>
        <w:rPr>
          <w:rStyle w:val="SectionNumber"/>
        </w:rPr>
        <w:t xml:space="preserve">1.9</w:t>
      </w:r>
      <w:r>
        <w:tab/>
      </w:r>
      <w:r>
        <w:t xml:space="preserve">7. Controls and Documentation</w:t>
      </w:r>
    </w:p>
    <w:p>
      <w:pPr>
        <w:pStyle w:val="FirstParagraph"/>
      </w:pPr>
      <w:r>
        <w:t xml:space="preserve">Technical Accounting maintains the approved capital project list, reviews time-tracking allocations against the list monthly, and prepares the capitalization entry at close. Finance business partners confirm project stage and production release dates with engineering leadership each month. Supporting schedules, including the burden rate calculation and the amortization roll-forward, are retained in accordance with ADI-POL-001 (Data Retention Policy).</w:t>
      </w:r>
    </w:p>
    <w:bookmarkEnd w:id="22"/>
    <w:bookmarkStart w:id="23" w:name="related-documents"/>
    <w:p>
      <w:pPr>
        <w:pStyle w:val="Heading2"/>
      </w:pPr>
      <w:r>
        <w:rPr>
          <w:rStyle w:val="SectionNumber"/>
        </w:rPr>
        <w:t xml:space="preserve">1.10</w:t>
      </w:r>
      <w:r>
        <w:tab/>
      </w:r>
      <w:r>
        <w:t xml:space="preserve">8. Related Documents</w:t>
      </w:r>
    </w:p>
    <w:p>
      <w:pPr>
        <w:pStyle w:val="Compact"/>
        <w:numPr>
          <w:ilvl w:val="0"/>
          <w:numId w:val="1002"/>
        </w:numPr>
      </w:pPr>
      <w:r>
        <w:t xml:space="preserve">ASC 350-40, Intangibles, Goodwill and Other, Internal-Use Software</w:t>
      </w:r>
    </w:p>
    <w:p>
      <w:pPr>
        <w:pStyle w:val="Compact"/>
        <w:numPr>
          <w:ilvl w:val="0"/>
          <w:numId w:val="1002"/>
        </w:numPr>
      </w:pPr>
      <w:r>
        <w:t xml:space="preserve">ASC 835-20, Interest, Capitalization of Interest</w:t>
      </w:r>
    </w:p>
    <w:p>
      <w:pPr>
        <w:pStyle w:val="Compact"/>
        <w:numPr>
          <w:ilvl w:val="0"/>
          <w:numId w:val="1002"/>
        </w:numPr>
      </w:pPr>
      <w:r>
        <w:t xml:space="preserve">ADI-POL-001, Data Retention Policy</w:t>
      </w:r>
    </w:p>
    <w:p>
      <w:pPr>
        <w:pStyle w:val="Compact"/>
        <w:numPr>
          <w:ilvl w:val="0"/>
          <w:numId w:val="1002"/>
        </w:numPr>
      </w:pPr>
      <w:r>
        <w:t xml:space="preserve">Capital Project Authorization Procedure (Finance intranet)</w:t>
      </w:r>
    </w:p>
    <w:bookmarkEnd w:id="23"/>
    <w:bookmarkStart w:id="24" w:name="version-history"/>
    <w:p>
      <w:pPr>
        <w:pStyle w:val="Heading2"/>
      </w:pPr>
      <w:r>
        <w:rPr>
          <w:rStyle w:val="SectionNumber"/>
        </w:rPr>
        <w:t xml:space="preserve">1.11</w:t>
      </w:r>
      <w:r>
        <w:tab/>
      </w:r>
      <w:r>
        <w:t xml:space="preserve">Version History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Summary of Change</w:t>
            </w:r>
          </w:p>
        </w:tc>
        <w:tc>
          <w:tcPr/>
          <w:p>
            <w:pPr>
              <w:pStyle w:val="Compact"/>
            </w:pPr>
            <w:r>
              <w:t xml:space="preserve">Approved By</w:t>
            </w:r>
          </w:p>
        </w:tc>
      </w:tr>
      <w:tr>
        <w:tc>
          <w:tcPr/>
          <w:p>
            <w:pPr>
              <w:pStyle w:val="Compact"/>
            </w:pPr>
            <w:r>
              <w:t xml:space="preserve">1.0</w:t>
            </w:r>
          </w:p>
        </w:tc>
        <w:tc>
          <w:tcPr/>
          <w:p>
            <w:pPr>
              <w:pStyle w:val="Compact"/>
            </w:pPr>
            <w:r>
              <w:t xml:space="preserve">2024-02-15</w:t>
            </w:r>
          </w:p>
        </w:tc>
        <w:tc>
          <w:tcPr/>
          <w:p>
            <w:pPr>
              <w:pStyle w:val="Compact"/>
            </w:pPr>
            <w:r>
              <w:t xml:space="preserve">Initial memorandum issued. Establishes the ASC 350-40 stage framework, a $25,000 per project capitalization threshold, a 3-year straight-line amortization life, and capitalization of internal labor at base salary plus a 28 percent benefits load.</w:t>
            </w:r>
          </w:p>
        </w:tc>
        <w:tc>
          <w:tcPr/>
          <w:p>
            <w:pPr>
              <w:pStyle w:val="Compact"/>
            </w:pPr>
            <w:r>
              <w:t xml:space="preserve">Naomi Feuerbach</w:t>
            </w:r>
          </w:p>
        </w:tc>
      </w:tr>
    </w:tbl>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2026-08-09T01:49:52Z</dcterms:created>
  <dcterms:modified xsi:type="dcterms:W3CDTF">2026-08-09T01:49:52Z</dcterms:modified>
</cp:coreProperties>
</file>

<file path=docProps/custom.xml><?xml version="1.0" encoding="utf-8"?>
<Properties xmlns="http://schemas.openxmlformats.org/officeDocument/2006/custom-properties" xmlns:vt="http://schemas.openxmlformats.org/officeDocument/2006/docPropsVTypes"/>
</file>