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emote-work-policy"/>
    <w:p>
      <w:pPr>
        <w:pStyle w:val="Heading1"/>
      </w:pPr>
      <w:r>
        <w:rPr>
          <w:rStyle w:val="SectionNumber"/>
        </w:rPr>
        <w:t xml:space="preserve">1</w:t>
      </w:r>
      <w:r>
        <w:tab/>
      </w:r>
      <w:r>
        <w:t xml:space="preserve">Remote Work Policy</w:t>
      </w:r>
    </w:p>
    <w:bookmarkStart w:id="9" w:name="document-control"/>
    <w:p>
      <w:pPr>
        <w:pStyle w:val="Heading2"/>
      </w:pPr>
      <w:r>
        <w:rPr>
          <w:rStyle w:val="SectionNumber"/>
        </w:rPr>
        <w:t xml:space="preserve">1.1</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ADI-POL-002</w:t>
            </w:r>
          </w:p>
        </w:tc>
      </w:tr>
      <w:tr>
        <w:tc>
          <w:tcPr/>
          <w:p>
            <w:pPr>
              <w:pStyle w:val="Compact"/>
            </w:pPr>
            <w:r>
              <w:t xml:space="preserve">Version</w:t>
            </w:r>
          </w:p>
        </w:tc>
        <w:tc>
          <w:tcPr/>
          <w:p>
            <w:pPr>
              <w:pStyle w:val="Compact"/>
            </w:pPr>
            <w:r>
              <w:t xml:space="preserve">2.0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Constance Adeyemi, Chief People Officer</w:t>
            </w:r>
          </w:p>
        </w:tc>
      </w:tr>
      <w:tr>
        <w:tc>
          <w:tcPr/>
          <w:p>
            <w:pPr>
              <w:pStyle w:val="Compact"/>
            </w:pPr>
            <w:r>
              <w:t xml:space="preserve">Effective Date</w:t>
            </w:r>
          </w:p>
        </w:tc>
        <w:tc>
          <w:tcPr/>
          <w:p>
            <w:pPr>
              <w:pStyle w:val="Compact"/>
            </w:pPr>
            <w:r>
              <w:t xml:space="preserve">2025-09-30</w:t>
            </w:r>
          </w:p>
        </w:tc>
      </w:tr>
      <w:tr>
        <w:tc>
          <w:tcPr/>
          <w:p>
            <w:pPr>
              <w:pStyle w:val="Compact"/>
            </w:pPr>
            <w:r>
              <w:t xml:space="preserve">Last Reviewed</w:t>
            </w:r>
          </w:p>
        </w:tc>
        <w:tc>
          <w:tcPr/>
          <w:p>
            <w:pPr>
              <w:pStyle w:val="Compact"/>
            </w:pPr>
            <w:r>
              <w:t xml:space="preserve">2025-09-30</w:t>
            </w:r>
          </w:p>
        </w:tc>
      </w:tr>
      <w:tr>
        <w:tc>
          <w:tcPr/>
          <w:p>
            <w:pPr>
              <w:pStyle w:val="Compact"/>
            </w:pPr>
            <w:r>
              <w:t xml:space="preserve">Next Review Due</w:t>
            </w:r>
          </w:p>
        </w:tc>
        <w:tc>
          <w:tcPr/>
          <w:p>
            <w:pPr>
              <w:pStyle w:val="Compact"/>
            </w:pPr>
            <w:r>
              <w:t xml:space="preserve">2026-09-30</w:t>
            </w:r>
          </w:p>
        </w:tc>
      </w:tr>
      <w:tr>
        <w:tc>
          <w:tcPr/>
          <w:p>
            <w:pPr>
              <w:pStyle w:val="Compact"/>
            </w:pPr>
            <w:r>
              <w:t xml:space="preserve">Supersedes</w:t>
            </w:r>
          </w:p>
        </w:tc>
        <w:tc>
          <w:tcPr/>
          <w:p>
            <w:pPr>
              <w:pStyle w:val="Compact"/>
            </w:pPr>
            <w:r>
              <w:t xml:space="preserve">ADI-POL-002 v1.3</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rPr>
          <w:rStyle w:val="SectionNumber"/>
        </w:rPr>
        <w:t xml:space="preserve">1.2</w:t>
      </w:r>
      <w:r>
        <w:tab/>
      </w:r>
      <w:r>
        <w:t xml:space="preserve">1. Purpose</w:t>
      </w:r>
    </w:p>
    <w:p>
      <w:pPr>
        <w:pStyle w:val="FirstParagraph"/>
      </w:pPr>
      <w:r>
        <w:t xml:space="preserve">Atticus Dundee Inc. operates a hybrid workplace. Most roles are performed partly in a Company office and partly from an approved remote location. This policy sets out who is eligible to work remotely, what is expected of employees and managers in a hybrid arrangement, and the conditions the Company places on remote work for tax, insurance, safety, and information-security reasons.</w:t>
      </w:r>
    </w:p>
    <w:p>
      <w:pPr>
        <w:pStyle w:val="BodyText"/>
      </w:pPr>
      <w:r>
        <w:t xml:space="preserve">Remote work is a working arrangement, not an employment benefit or a term of employment. It is granted, administered, and where necessary withdrawn under this policy.</w:t>
      </w:r>
    </w:p>
    <w:bookmarkEnd w:id="10"/>
    <w:bookmarkStart w:id="12" w:name="scope"/>
    <w:p>
      <w:pPr>
        <w:pStyle w:val="Heading2"/>
      </w:pPr>
      <w:r>
        <w:rPr>
          <w:rStyle w:val="SectionNumber"/>
        </w:rPr>
        <w:t xml:space="preserve">1.3</w:t>
      </w:r>
      <w:r>
        <w:tab/>
      </w:r>
      <w:r>
        <w:t xml:space="preserve">2. Scope</w:t>
      </w:r>
    </w:p>
    <w:p>
      <w:pPr>
        <w:pStyle w:val="FirstParagraph"/>
      </w:pPr>
      <w:r>
        <w:t xml:space="preserve">This policy applies to all regular employees of Atticus Dundee in the United States, and to managers who approve remote work arrangements. Contractors and temporary workers work under the terms of their engagement agreements and are not covered here.</w:t>
      </w:r>
    </w:p>
    <w:bookmarkStart w:id="11" w:name="definitions"/>
    <w:p>
      <w:pPr>
        <w:pStyle w:val="Heading3"/>
      </w:pPr>
      <w:r>
        <w:rPr>
          <w:rStyle w:val="SectionNumber"/>
        </w:rPr>
        <w:t xml:space="preserve">1.3.1</w:t>
      </w:r>
      <w:r>
        <w:tab/>
      </w:r>
      <w:r>
        <w:t xml:space="preserve">2.1 Definitions</w:t>
      </w:r>
    </w:p>
    <w:p>
      <w:pPr>
        <w:pStyle w:val="FirstParagraph"/>
      </w:pPr>
      <w:r>
        <w:rPr>
          <w:b/>
          <w:bCs/>
        </w:rPr>
        <w:t xml:space="preserve">Assigned office.</w:t>
      </w:r>
      <w:r>
        <w:t xml:space="preserve"> </w:t>
      </w:r>
      <w:r>
        <w:t xml:space="preserve">The Company office recorded as the employee’s work location in the HRIS.</w:t>
      </w:r>
    </w:p>
    <w:p>
      <w:pPr>
        <w:pStyle w:val="BodyText"/>
      </w:pPr>
      <w:r>
        <w:rPr>
          <w:b/>
          <w:bCs/>
        </w:rPr>
        <w:t xml:space="preserve">Hybrid arrangement.</w:t>
      </w:r>
      <w:r>
        <w:t xml:space="preserve"> </w:t>
      </w:r>
      <w:r>
        <w:t xml:space="preserve">The default arrangement, in which the employee divides the work week between the assigned office and an approved remote location.</w:t>
      </w:r>
    </w:p>
    <w:p>
      <w:pPr>
        <w:pStyle w:val="BodyText"/>
      </w:pPr>
      <w:r>
        <w:rPr>
          <w:b/>
          <w:bCs/>
        </w:rPr>
        <w:t xml:space="preserve">Designated remote role.</w:t>
      </w:r>
      <w:r>
        <w:t xml:space="preserve"> </w:t>
      </w:r>
      <w:r>
        <w:t xml:space="preserve">A role that People Operations and the functional leader have designated in the job architecture as performed entirely outside a Company office.</w:t>
      </w:r>
    </w:p>
    <w:p>
      <w:pPr>
        <w:pStyle w:val="BodyText"/>
      </w:pPr>
      <w:r>
        <w:rPr>
          <w:b/>
          <w:bCs/>
        </w:rPr>
        <w:t xml:space="preserve">Approved remote location.</w:t>
      </w:r>
      <w:r>
        <w:t xml:space="preserve"> </w:t>
      </w:r>
      <w:r>
        <w:t xml:space="preserve">A fixed address, recorded in the HRIS, from which the employee is authorized to work.</w:t>
      </w:r>
    </w:p>
    <w:p>
      <w:pPr>
        <w:pStyle w:val="BodyText"/>
      </w:pPr>
      <w:r>
        <w:rPr>
          <w:b/>
          <w:bCs/>
        </w:rPr>
        <w:t xml:space="preserve">Core collaboration hours.</w:t>
      </w:r>
      <w:r>
        <w:t xml:space="preserve"> </w:t>
      </w:r>
      <w:r>
        <w:t xml:space="preserve">10:00 to 15:00 in the employee’s recorded office time zone.</w:t>
      </w:r>
    </w:p>
    <w:bookmarkEnd w:id="11"/>
    <w:bookmarkEnd w:id="12"/>
    <w:bookmarkStart w:id="13" w:name="eligibility"/>
    <w:p>
      <w:pPr>
        <w:pStyle w:val="Heading2"/>
      </w:pPr>
      <w:r>
        <w:rPr>
          <w:rStyle w:val="SectionNumber"/>
        </w:rPr>
        <w:t xml:space="preserve">1.4</w:t>
      </w:r>
      <w:r>
        <w:tab/>
      </w:r>
      <w:r>
        <w:t xml:space="preserve">3. Eligibility</w:t>
      </w:r>
    </w:p>
    <w:p>
      <w:pPr>
        <w:pStyle w:val="Compact"/>
        <w:numPr>
          <w:ilvl w:val="0"/>
          <w:numId w:val="1001"/>
        </w:numPr>
      </w:pPr>
      <w:r>
        <w:t xml:space="preserve">Eligibility is determined by role, not by preference or tenure. A role is eligible for a hybrid arrangement where its duties can be performed effectively outside the office for part of the week and where no facility, hardware, or customer-site requirement applies.</w:t>
      </w:r>
    </w:p>
    <w:p>
      <w:pPr>
        <w:pStyle w:val="Compact"/>
        <w:numPr>
          <w:ilvl w:val="0"/>
          <w:numId w:val="1001"/>
        </w:numPr>
      </w:pPr>
      <w:r>
        <w:t xml:space="preserve">Roles that require physical presence, including workplace services, hardware laboratory, and certain customer-support and security-operations functions, are designated onsite and are not eligible.</w:t>
      </w:r>
    </w:p>
    <w:p>
      <w:pPr>
        <w:pStyle w:val="Compact"/>
        <w:numPr>
          <w:ilvl w:val="0"/>
          <w:numId w:val="1001"/>
        </w:numPr>
      </w:pPr>
      <w:r>
        <w:t xml:space="preserve">Employees in their first 90 days work from the assigned office at least four days per week so that onboarding, systems provisioning, and team integration are completed in person.</w:t>
      </w:r>
    </w:p>
    <w:p>
      <w:pPr>
        <w:pStyle w:val="Compact"/>
        <w:numPr>
          <w:ilvl w:val="0"/>
          <w:numId w:val="1001"/>
        </w:numPr>
      </w:pPr>
      <w:r>
        <w:t xml:space="preserve">Employees on a formal performance improvement plan are not eligible for a change to their existing arrangement while the plan is open.</w:t>
      </w:r>
    </w:p>
    <w:bookmarkEnd w:id="13"/>
    <w:bookmarkStart w:id="14" w:name="hybrid-expectations"/>
    <w:p>
      <w:pPr>
        <w:pStyle w:val="Heading2"/>
      </w:pPr>
      <w:r>
        <w:rPr>
          <w:rStyle w:val="SectionNumber"/>
        </w:rPr>
        <w:t xml:space="preserve">1.5</w:t>
      </w:r>
      <w:r>
        <w:tab/>
      </w:r>
      <w:r>
        <w:t xml:space="preserve">4. Hybrid Expectations</w:t>
      </w:r>
    </w:p>
    <w:p>
      <w:pPr>
        <w:pStyle w:val="Compact"/>
        <w:numPr>
          <w:ilvl w:val="0"/>
          <w:numId w:val="1002"/>
        </w:numPr>
      </w:pPr>
      <w:r>
        <w:t xml:space="preserve">Employees in role Bands X and Y must work from their assigned office at least three days per week. Presence is measured as a monthly average of scheduled working days, so that travel, holidays, and approved leave do not distort a single week.</w:t>
      </w:r>
    </w:p>
    <w:p>
      <w:pPr>
        <w:pStyle w:val="Compact"/>
        <w:numPr>
          <w:ilvl w:val="0"/>
          <w:numId w:val="1002"/>
        </w:numPr>
      </w:pPr>
      <w:r>
        <w:t xml:space="preserve">Employees in role Band W hold designated remote roles and have no minimum onsite requirement. Band Z leadership roles carry an onsite expectation of four days per week.</w:t>
      </w:r>
    </w:p>
    <w:p>
      <w:pPr>
        <w:pStyle w:val="Compact"/>
        <w:numPr>
          <w:ilvl w:val="0"/>
          <w:numId w:val="1002"/>
        </w:numPr>
      </w:pPr>
      <w:r>
        <w:t xml:space="preserve">Teams set their anchor days, so that the required onsite days overlap across the team rather than being taken independently. Managers publish anchor days in the team calendar each quarter.</w:t>
      </w:r>
    </w:p>
    <w:p>
      <w:pPr>
        <w:pStyle w:val="Compact"/>
        <w:numPr>
          <w:ilvl w:val="0"/>
          <w:numId w:val="1002"/>
        </w:numPr>
      </w:pPr>
      <w:r>
        <w:t xml:space="preserve">All employees, including those in designated remote roles, are available during core collaboration hours and keep their calendars accurate and current.</w:t>
      </w:r>
    </w:p>
    <w:p>
      <w:pPr>
        <w:pStyle w:val="Compact"/>
        <w:numPr>
          <w:ilvl w:val="0"/>
          <w:numId w:val="1002"/>
        </w:numPr>
      </w:pPr>
      <w:r>
        <w:t xml:space="preserve">All employees are expected to attend onsite quarterly business reviews, team offsites, and organization-wide events, whether or not those fall on an anchor day. Travel for these events is reimbursed under ADI-POL-005 (Travel and Expense Policy).</w:t>
      </w:r>
    </w:p>
    <w:p>
      <w:pPr>
        <w:pStyle w:val="Compact"/>
        <w:numPr>
          <w:ilvl w:val="0"/>
          <w:numId w:val="1002"/>
        </w:numPr>
      </w:pPr>
      <w:r>
        <w:t xml:space="preserve">Working from an office other than the assigned office for a short period does not require approval, provided the employee reserves space through the workplace reservation system.</w:t>
      </w:r>
    </w:p>
    <w:bookmarkEnd w:id="14"/>
    <w:bookmarkStart w:id="17" w:name="approved-work-locations"/>
    <w:p>
      <w:pPr>
        <w:pStyle w:val="Heading2"/>
      </w:pPr>
      <w:r>
        <w:rPr>
          <w:rStyle w:val="SectionNumber"/>
        </w:rPr>
        <w:t xml:space="preserve">1.6</w:t>
      </w:r>
      <w:r>
        <w:tab/>
      </w:r>
      <w:r>
        <w:t xml:space="preserve">5. Approved Work Locations</w:t>
      </w:r>
    </w:p>
    <w:p>
      <w:pPr>
        <w:pStyle w:val="Compact"/>
        <w:numPr>
          <w:ilvl w:val="0"/>
          <w:numId w:val="1003"/>
        </w:numPr>
      </w:pPr>
      <w:r>
        <w:t xml:space="preserve">The approved remote location must be a fixed address in the United States, recorded in the HRIS, with reliable broadband connectivity, and it must permit the employee to conduct confidential conversations without being overheard.</w:t>
      </w:r>
    </w:p>
    <w:p>
      <w:pPr>
        <w:pStyle w:val="Compact"/>
        <w:numPr>
          <w:ilvl w:val="0"/>
          <w:numId w:val="1003"/>
        </w:numPr>
      </w:pPr>
      <w:r>
        <w:t xml:space="preserve">Working from a location other than the approved remote location for more than ten consecutive business days requires manager approval and an updated HRIS record.</w:t>
      </w:r>
    </w:p>
    <w:p>
      <w:pPr>
        <w:pStyle w:val="Compact"/>
        <w:numPr>
          <w:ilvl w:val="0"/>
          <w:numId w:val="1003"/>
        </w:numPr>
      </w:pPr>
      <w:r>
        <w:t xml:space="preserve">Public networks may be used only with the Company VPN engaged, in accordance with ADI-POL-003 (Acceptable Use Policy).</w:t>
      </w:r>
    </w:p>
    <w:p>
      <w:pPr>
        <w:pStyle w:val="Compact"/>
        <w:numPr>
          <w:ilvl w:val="0"/>
          <w:numId w:val="1003"/>
        </w:numPr>
      </w:pPr>
      <w:r>
        <w:t xml:space="preserve">Coworking memberships are not reimbursed except where the functional leader has approved them in advance as a substitute for an assigned office.</w:t>
      </w:r>
    </w:p>
    <w:bookmarkStart w:id="15" w:name="out-of-state-work"/>
    <w:p>
      <w:pPr>
        <w:pStyle w:val="Heading3"/>
      </w:pPr>
      <w:r>
        <w:rPr>
          <w:rStyle w:val="SectionNumber"/>
        </w:rPr>
        <w:t xml:space="preserve">1.6.1</w:t>
      </w:r>
      <w:r>
        <w:tab/>
      </w:r>
      <w:r>
        <w:t xml:space="preserve">5.1 Out-of-State Work</w:t>
      </w:r>
    </w:p>
    <w:p>
      <w:pPr>
        <w:pStyle w:val="FirstParagraph"/>
      </w:pPr>
      <w:r>
        <w:t xml:space="preserve">An employee who intends to work from a state other than the state of the assigned office, or to relocate a remote location across state lines, must obtain approval from People Operations and from Tax before the change takes effect. Presence in a new state can create payroll registration, unemployment insurance, income-tax withholding, paid-leave contribution, and business-nexus obligations for the Company. Review typically takes ten business days. Compensation may be adjusted where the Company’s geographic pay ranges differ for the new location.</w:t>
      </w:r>
    </w:p>
    <w:bookmarkEnd w:id="15"/>
    <w:bookmarkStart w:id="16" w:name="international-work"/>
    <w:p>
      <w:pPr>
        <w:pStyle w:val="Heading3"/>
      </w:pPr>
      <w:r>
        <w:rPr>
          <w:rStyle w:val="SectionNumber"/>
        </w:rPr>
        <w:t xml:space="preserve">1.6.2</w:t>
      </w:r>
      <w:r>
        <w:tab/>
      </w:r>
      <w:r>
        <w:t xml:space="preserve">5.2 International Work</w:t>
      </w:r>
    </w:p>
    <w:p>
      <w:pPr>
        <w:pStyle w:val="FirstParagraph"/>
      </w:pPr>
      <w:r>
        <w:t xml:space="preserve">Work performed from outside the United States requires approval from People Operations, Tax, and the Legal Department, without exception, and is granted only in limited circumstances. Unapproved international work can create permanent-establishment exposure, immigration violations, and data-transfer obligations. Short-term international work incidental to approved business travel is not covered by this subsection and is governed by ADI-POL-005.</w:t>
      </w:r>
    </w:p>
    <w:p>
      <w:pPr>
        <w:pStyle w:val="BodyText"/>
      </w:pPr>
      <w:r>
        <w:t xml:space="preserve">Requests should be submitted at least 30 days before the intended start date to peopleops@atticusdundee.example.</w:t>
      </w:r>
    </w:p>
    <w:bookmarkEnd w:id="16"/>
    <w:bookmarkEnd w:id="17"/>
    <w:bookmarkStart w:id="18" w:name="equipment-and-stipend"/>
    <w:p>
      <w:pPr>
        <w:pStyle w:val="Heading2"/>
      </w:pPr>
      <w:r>
        <w:rPr>
          <w:rStyle w:val="SectionNumber"/>
        </w:rPr>
        <w:t xml:space="preserve">1.7</w:t>
      </w:r>
      <w:r>
        <w:tab/>
      </w:r>
      <w:r>
        <w:t xml:space="preserve">6. Equipment and Stipend</w:t>
      </w:r>
    </w:p>
    <w:p>
      <w:pPr>
        <w:pStyle w:val="Compact"/>
        <w:numPr>
          <w:ilvl w:val="0"/>
          <w:numId w:val="1004"/>
        </w:numPr>
      </w:pPr>
      <w:r>
        <w:t xml:space="preserve">The Company issues a laptop, and where the role requires it a monitor and docking station, to every employee. Company-issued equipment remains Company property and must be returned on separation.</w:t>
      </w:r>
    </w:p>
    <w:p>
      <w:pPr>
        <w:pStyle w:val="Compact"/>
        <w:numPr>
          <w:ilvl w:val="0"/>
          <w:numId w:val="1004"/>
        </w:numPr>
      </w:pPr>
      <w:r>
        <w:t xml:space="preserve">Employees working under a hybrid arrangement or in a designated remote role receive an initial home-office stipend of $750, payable through payroll after the first 30 days of employment or of the approved arrangement, whichever is later.</w:t>
      </w:r>
    </w:p>
    <w:p>
      <w:pPr>
        <w:pStyle w:val="Compact"/>
        <w:numPr>
          <w:ilvl w:val="0"/>
          <w:numId w:val="1004"/>
        </w:numPr>
      </w:pPr>
      <w:r>
        <w:t xml:space="preserve">A refresh stipend of $400 is available every 24 months thereafter, on the anniversary of the initial stipend.</w:t>
      </w:r>
    </w:p>
    <w:p>
      <w:pPr>
        <w:pStyle w:val="Compact"/>
        <w:numPr>
          <w:ilvl w:val="0"/>
          <w:numId w:val="1004"/>
        </w:numPr>
      </w:pPr>
      <w:r>
        <w:t xml:space="preserve">Stipends are used for desk, seating, lighting, and connectivity accessories. Items purchased with the stipend belong to the employee, and the Company does not maintain, insure, or repair them.</w:t>
      </w:r>
    </w:p>
    <w:p>
      <w:pPr>
        <w:pStyle w:val="Compact"/>
        <w:numPr>
          <w:ilvl w:val="0"/>
          <w:numId w:val="1004"/>
        </w:numPr>
      </w:pPr>
      <w:r>
        <w:t xml:space="preserve">Consumables, furniture beyond the stipend amount, and residential internet service are not separately reimbursable.</w:t>
      </w:r>
    </w:p>
    <w:p>
      <w:pPr>
        <w:pStyle w:val="Compact"/>
        <w:numPr>
          <w:ilvl w:val="0"/>
          <w:numId w:val="1004"/>
        </w:numPr>
      </w:pPr>
      <w:r>
        <w:t xml:space="preserve">Equipment loss, theft, or damage must be reported to the IT service desk and, where Company data may be affected, to security@atticusdundee.example.</w:t>
      </w:r>
    </w:p>
    <w:bookmarkEnd w:id="18"/>
    <w:bookmarkStart w:id="19" w:name="workspace-safety-attestation"/>
    <w:p>
      <w:pPr>
        <w:pStyle w:val="Heading2"/>
      </w:pPr>
      <w:r>
        <w:rPr>
          <w:rStyle w:val="SectionNumber"/>
        </w:rPr>
        <w:t xml:space="preserve">1.8</w:t>
      </w:r>
      <w:r>
        <w:tab/>
      </w:r>
      <w:r>
        <w:t xml:space="preserve">7. Workspace Safety Attestation</w:t>
      </w:r>
    </w:p>
    <w:p>
      <w:pPr>
        <w:pStyle w:val="FirstParagraph"/>
      </w:pPr>
      <w:r>
        <w:t xml:space="preserve">Employees working remotely must complete the annual workspace safety attestation in the HRIS, confirming that the remote workspace has adequate lighting and ventilation, a work surface and seating appropriate for sustained work, unobstructed egress, and no visible electrical hazards. New participants complete the attestation before their arrangement begins.</w:t>
      </w:r>
    </w:p>
    <w:p>
      <w:pPr>
        <w:pStyle w:val="BodyText"/>
      </w:pPr>
      <w:r>
        <w:t xml:space="preserve">Work-related injuries occurring at an approved remote location during working hours are reported to People Operations within 24 hours and handled under the Company’s workers’ compensation program in the same manner as injuries occurring in a Company office.</w:t>
      </w:r>
    </w:p>
    <w:bookmarkEnd w:id="19"/>
    <w:bookmarkStart w:id="20" w:name="approval-workflow"/>
    <w:p>
      <w:pPr>
        <w:pStyle w:val="Heading2"/>
      </w:pPr>
      <w:r>
        <w:rPr>
          <w:rStyle w:val="SectionNumber"/>
        </w:rPr>
        <w:t xml:space="preserve">1.9</w:t>
      </w:r>
      <w:r>
        <w:tab/>
      </w:r>
      <w:r>
        <w:t xml:space="preserve">8. Approval Workflow</w:t>
      </w:r>
    </w:p>
    <w:p>
      <w:pPr>
        <w:pStyle w:val="Compact"/>
        <w:numPr>
          <w:ilvl w:val="0"/>
          <w:numId w:val="1005"/>
        </w:numPr>
      </w:pPr>
      <w:r>
        <w:t xml:space="preserve">The employee submits a remote work request in the HRIS, identifying the proposed arrangement, the approved remote location, and the proposed onsite days.</w:t>
      </w:r>
    </w:p>
    <w:p>
      <w:pPr>
        <w:pStyle w:val="Compact"/>
        <w:numPr>
          <w:ilvl w:val="0"/>
          <w:numId w:val="1005"/>
        </w:numPr>
      </w:pPr>
      <w:r>
        <w:t xml:space="preserve">The manager reviews the request against Sections 3 and 4 and either approves it, approves it with modifications, or declines it with a stated business reason.</w:t>
      </w:r>
    </w:p>
    <w:p>
      <w:pPr>
        <w:pStyle w:val="Compact"/>
        <w:numPr>
          <w:ilvl w:val="0"/>
          <w:numId w:val="1005"/>
        </w:numPr>
      </w:pPr>
      <w:r>
        <w:t xml:space="preserve">Where the request involves an out-of-state or international location, the HRIS routes it to People Operations and Tax under Sections 5.1 and 5.2 before it can be approved.</w:t>
      </w:r>
    </w:p>
    <w:p>
      <w:pPr>
        <w:pStyle w:val="Compact"/>
        <w:numPr>
          <w:ilvl w:val="0"/>
          <w:numId w:val="1005"/>
        </w:numPr>
      </w:pPr>
      <w:r>
        <w:t xml:space="preserve">People Operations records the approved arrangement in the HRIS. An arrangement is not effective until it appears there.</w:t>
      </w:r>
    </w:p>
    <w:p>
      <w:pPr>
        <w:pStyle w:val="Compact"/>
        <w:numPr>
          <w:ilvl w:val="0"/>
          <w:numId w:val="1005"/>
        </w:numPr>
      </w:pPr>
      <w:r>
        <w:t xml:space="preserve">Managers review team arrangements at least annually, and whenever a role, reporting line, or office assignment changes.</w:t>
      </w:r>
    </w:p>
    <w:bookmarkEnd w:id="20"/>
    <w:bookmarkStart w:id="21" w:name="modification-and-revocation"/>
    <w:p>
      <w:pPr>
        <w:pStyle w:val="Heading2"/>
      </w:pPr>
      <w:r>
        <w:rPr>
          <w:rStyle w:val="SectionNumber"/>
        </w:rPr>
        <w:t xml:space="preserve">1.10</w:t>
      </w:r>
      <w:r>
        <w:tab/>
      </w:r>
      <w:r>
        <w:t xml:space="preserve">9. Modification and Revocation</w:t>
      </w:r>
    </w:p>
    <w:p>
      <w:pPr>
        <w:pStyle w:val="FirstParagraph"/>
      </w:pPr>
      <w:r>
        <w:t xml:space="preserve">A remote work arrangement may be modified or withdrawn by the Company where business needs change, where a role is reclassified, where performance or conduct concerns arise, or where the employee does not comply with this policy. Except in cases involving misconduct or a security concern, the Company will give at least 30 days’ written notice of a change that requires an employee to increase onsite presence.</w:t>
      </w:r>
    </w:p>
    <w:p>
      <w:pPr>
        <w:pStyle w:val="BodyText"/>
      </w:pPr>
      <w:r>
        <w:t xml:space="preserve">An arrangement lapses automatically if the employee moves without recording the new location in the HRIS, or if the annual workspace safety attestation is not completed within 30 days of its due date.</w:t>
      </w:r>
    </w:p>
    <w:bookmarkEnd w:id="21"/>
    <w:bookmarkStart w:id="22" w:name="exceptions"/>
    <w:p>
      <w:pPr>
        <w:pStyle w:val="Heading2"/>
      </w:pPr>
      <w:r>
        <w:rPr>
          <w:rStyle w:val="SectionNumber"/>
        </w:rPr>
        <w:t xml:space="preserve">1.11</w:t>
      </w:r>
      <w:r>
        <w:tab/>
      </w:r>
      <w:r>
        <w:t xml:space="preserve">10. Exceptions</w:t>
      </w:r>
    </w:p>
    <w:p>
      <w:pPr>
        <w:pStyle w:val="FirstParagraph"/>
      </w:pPr>
      <w:r>
        <w:t xml:space="preserve">Exceptions to this policy require the written approval of the Chief People Officer and the relevant functional leader. Requests are submitted to peopleops@atticusdundee.example and must state the requested deviation, its duration, the business justification, and any compensating arrangements. Approved exceptions are recorded in the HRIS and are reviewed at least annually.</w:t>
      </w:r>
    </w:p>
    <w:bookmarkEnd w:id="22"/>
    <w:bookmarkStart w:id="23" w:name="enforcement"/>
    <w:p>
      <w:pPr>
        <w:pStyle w:val="Heading2"/>
      </w:pPr>
      <w:r>
        <w:rPr>
          <w:rStyle w:val="SectionNumber"/>
        </w:rPr>
        <w:t xml:space="preserve">1.12</w:t>
      </w:r>
      <w:r>
        <w:tab/>
      </w:r>
      <w:r>
        <w:t xml:space="preserve">11. Enforcement</w:t>
      </w:r>
    </w:p>
    <w:p>
      <w:pPr>
        <w:pStyle w:val="FirstParagraph"/>
      </w:pPr>
      <w:r>
        <w:t xml:space="preserve">Working from an unapproved location, failing to disclose a change of work location, or repeated failure to meet the onsite expectations in Section 4 may result in withdrawal of the remote work arrangement and in disciplinary action up to and including termination of employment.</w:t>
      </w:r>
    </w:p>
    <w:bookmarkEnd w:id="23"/>
    <w:bookmarkStart w:id="24" w:name="related-documents"/>
    <w:p>
      <w:pPr>
        <w:pStyle w:val="Heading2"/>
      </w:pPr>
      <w:r>
        <w:rPr>
          <w:rStyle w:val="SectionNumber"/>
        </w:rPr>
        <w:t xml:space="preserve">1.13</w:t>
      </w:r>
      <w:r>
        <w:tab/>
      </w:r>
      <w:r>
        <w:t xml:space="preserve">12. Related Documents</w:t>
      </w:r>
    </w:p>
    <w:p>
      <w:pPr>
        <w:pStyle w:val="Compact"/>
        <w:numPr>
          <w:ilvl w:val="0"/>
          <w:numId w:val="1006"/>
        </w:numPr>
      </w:pPr>
      <w:r>
        <w:t xml:space="preserve">ADI-POL-003, Acceptable Use Policy</w:t>
      </w:r>
    </w:p>
    <w:p>
      <w:pPr>
        <w:pStyle w:val="Compact"/>
        <w:numPr>
          <w:ilvl w:val="0"/>
          <w:numId w:val="1006"/>
        </w:numPr>
      </w:pPr>
      <w:r>
        <w:t xml:space="preserve">ADI-POL-005, Travel and Expense Policy</w:t>
      </w:r>
    </w:p>
    <w:p>
      <w:pPr>
        <w:pStyle w:val="Compact"/>
        <w:numPr>
          <w:ilvl w:val="0"/>
          <w:numId w:val="1006"/>
        </w:numPr>
      </w:pPr>
      <w:r>
        <w:t xml:space="preserve">ADI-HR-001, Employee Handbook</w:t>
      </w:r>
    </w:p>
    <w:p>
      <w:pPr>
        <w:pStyle w:val="Compact"/>
        <w:numPr>
          <w:ilvl w:val="0"/>
          <w:numId w:val="1006"/>
        </w:numPr>
      </w:pPr>
      <w:r>
        <w:t xml:space="preserve">Workspace Safety Attestation (HRIS)</w:t>
      </w:r>
    </w:p>
    <w:bookmarkEnd w:id="24"/>
    <w:bookmarkStart w:id="25" w:name="version-history"/>
    <w:p>
      <w:pPr>
        <w:pStyle w:val="Heading2"/>
      </w:pPr>
      <w:r>
        <w:rPr>
          <w:rStyle w:val="SectionNumber"/>
        </w:rPr>
        <w:t xml:space="preserve">1.14</w:t>
      </w:r>
      <w:r>
        <w:tab/>
      </w: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2021-05-03</w:t>
            </w:r>
          </w:p>
        </w:tc>
        <w:tc>
          <w:tcPr/>
          <w:p>
            <w:pPr>
              <w:pStyle w:val="Compact"/>
            </w:pPr>
            <w:r>
              <w:t xml:space="preserve">Initial policy issued following the return-to-office program.</w:t>
            </w:r>
          </w:p>
        </w:tc>
        <w:tc>
          <w:tcPr/>
          <w:p>
            <w:pPr>
              <w:pStyle w:val="Compact"/>
            </w:pPr>
            <w:r>
              <w:t xml:space="preserve">Constance Adeyemi</w:t>
            </w:r>
          </w:p>
        </w:tc>
      </w:tr>
      <w:tr>
        <w:tc>
          <w:tcPr/>
          <w:p>
            <w:pPr>
              <w:pStyle w:val="Compact"/>
            </w:pPr>
            <w:r>
              <w:t xml:space="preserve">1.1</w:t>
            </w:r>
          </w:p>
        </w:tc>
        <w:tc>
          <w:tcPr/>
          <w:p>
            <w:pPr>
              <w:pStyle w:val="Compact"/>
            </w:pPr>
            <w:r>
              <w:t xml:space="preserve">2022-02-14</w:t>
            </w:r>
          </w:p>
        </w:tc>
        <w:tc>
          <w:tcPr/>
          <w:p>
            <w:pPr>
              <w:pStyle w:val="Compact"/>
            </w:pPr>
            <w:r>
              <w:t xml:space="preserve">Added core collaboration hours and equipment return obligations.</w:t>
            </w:r>
          </w:p>
        </w:tc>
        <w:tc>
          <w:tcPr/>
          <w:p>
            <w:pPr>
              <w:pStyle w:val="Compact"/>
            </w:pPr>
            <w:r>
              <w:t xml:space="preserve">Constance Adeyemi</w:t>
            </w:r>
          </w:p>
        </w:tc>
      </w:tr>
      <w:tr>
        <w:tc>
          <w:tcPr/>
          <w:p>
            <w:pPr>
              <w:pStyle w:val="Compact"/>
            </w:pPr>
            <w:r>
              <w:t xml:space="preserve">1.2</w:t>
            </w:r>
          </w:p>
        </w:tc>
        <w:tc>
          <w:tcPr/>
          <w:p>
            <w:pPr>
              <w:pStyle w:val="Compact"/>
            </w:pPr>
            <w:r>
              <w:t xml:space="preserve">2023-06-05</w:t>
            </w:r>
          </w:p>
        </w:tc>
        <w:tc>
          <w:tcPr/>
          <w:p>
            <w:pPr>
              <w:pStyle w:val="Compact"/>
            </w:pPr>
            <w:r>
              <w:t xml:space="preserve">Added out-of-state review requirement and geographic pay language.</w:t>
            </w:r>
          </w:p>
        </w:tc>
        <w:tc>
          <w:tcPr/>
          <w:p>
            <w:pPr>
              <w:pStyle w:val="Compact"/>
            </w:pPr>
            <w:r>
              <w:t xml:space="preserve">Constance Adeyemi</w:t>
            </w:r>
          </w:p>
        </w:tc>
      </w:tr>
      <w:tr>
        <w:tc>
          <w:tcPr/>
          <w:p>
            <w:pPr>
              <w:pStyle w:val="Compact"/>
            </w:pPr>
            <w:r>
              <w:t xml:space="preserve">1.3</w:t>
            </w:r>
          </w:p>
        </w:tc>
        <w:tc>
          <w:tcPr/>
          <w:p>
            <w:pPr>
              <w:pStyle w:val="Compact"/>
            </w:pPr>
            <w:r>
              <w:t xml:space="preserve">2024-04-22</w:t>
            </w:r>
          </w:p>
        </w:tc>
        <w:tc>
          <w:tcPr/>
          <w:p>
            <w:pPr>
              <w:pStyle w:val="Compact"/>
            </w:pPr>
            <w:r>
              <w:t xml:space="preserve">Introduced annual workspace safety attestation.</w:t>
            </w:r>
          </w:p>
        </w:tc>
        <w:tc>
          <w:tcPr/>
          <w:p>
            <w:pPr>
              <w:pStyle w:val="Compact"/>
            </w:pPr>
            <w:r>
              <w:t xml:space="preserve">Constance Adeyemi</w:t>
            </w:r>
          </w:p>
        </w:tc>
      </w:tr>
      <w:tr>
        <w:tc>
          <w:tcPr/>
          <w:p>
            <w:pPr>
              <w:pStyle w:val="Compact"/>
            </w:pPr>
            <w:r>
              <w:t xml:space="preserve">2.0</w:t>
            </w:r>
          </w:p>
        </w:tc>
        <w:tc>
          <w:tcPr/>
          <w:p>
            <w:pPr>
              <w:pStyle w:val="Compact"/>
            </w:pPr>
            <w:r>
              <w:t xml:space="preserve">2025-09-30</w:t>
            </w:r>
          </w:p>
        </w:tc>
        <w:tc>
          <w:tcPr/>
          <w:p>
            <w:pPr>
              <w:pStyle w:val="Compact"/>
            </w:pPr>
            <w:r>
              <w:t xml:space="preserve">Restated for the band-based onsite model; set three-day onsite expectation for Bands X and Y; revised stipend structure to $750 initial and $400 every 24 months; added international work approval requirements and revocation terms.</w:t>
            </w:r>
          </w:p>
        </w:tc>
        <w:tc>
          <w:tcPr/>
          <w:p>
            <w:pPr>
              <w:pStyle w:val="Compact"/>
            </w:pPr>
            <w:r>
              <w:t xml:space="preserve">Constance Adeyemi</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