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office-lease-agreement"/>
    <w:p>
      <w:pPr>
        <w:pStyle w:val="Heading1"/>
      </w:pPr>
      <w:r>
        <w:rPr>
          <w:rStyle w:val="SectionNumber"/>
        </w:rPr>
        <w:t xml:space="preserve">1</w:t>
      </w:r>
      <w:r>
        <w:tab/>
      </w:r>
      <w:r>
        <w:t xml:space="preserve">Office Lease Agreement</w:t>
      </w:r>
    </w:p>
    <w:p>
      <w:pPr>
        <w:pStyle w:val="FirstParagraph"/>
      </w:pPr>
      <w:r>
        <w:rPr>
          <w:b/>
          <w:bCs/>
        </w:rPr>
        <w:t xml:space="preserve">Halverson Quay Center, 1450 Halverson Quay, Wilmington, Delaware</w:t>
      </w:r>
    </w:p>
    <w:p>
      <w:pPr>
        <w:pStyle w:val="BodyText"/>
      </w:pPr>
      <w:r>
        <w:t xml:space="preserve">This Office Lease Agreement (this</w:t>
      </w:r>
      <w:r>
        <w:t xml:space="preserve"> </w:t>
      </w:r>
      <w:r>
        <w:t xml:space="preserve">“</w:t>
      </w:r>
      <w:r>
        <w:rPr>
          <w:b/>
          <w:bCs/>
        </w:rPr>
        <w:t xml:space="preserve">Lease</w:t>
      </w:r>
      <w:r>
        <w:t xml:space="preserve">”</w:t>
      </w:r>
      <w:r>
        <w:t xml:space="preserve">) is made as of August 14, 2024 (the</w:t>
      </w:r>
      <w:r>
        <w:t xml:space="preserve"> </w:t>
      </w:r>
      <w:r>
        <w:t xml:space="preserve">“</w:t>
      </w:r>
      <w:r>
        <w:rPr>
          <w:b/>
          <w:bCs/>
        </w:rPr>
        <w:t xml:space="preserve">Lease Date</w:t>
      </w:r>
      <w:r>
        <w:t xml:space="preserve">”</w:t>
      </w:r>
      <w:r>
        <w:t xml:space="preserve">) by and between</w:t>
      </w:r>
      <w:r>
        <w:t xml:space="preserve"> </w:t>
      </w:r>
      <w:r>
        <w:rPr>
          <w:b/>
          <w:bCs/>
        </w:rPr>
        <w:t xml:space="preserve">ASHGROVE PROPERTIES LLC</w:t>
      </w:r>
      <w:r>
        <w:t xml:space="preserve">, a Delaware limited liability company (</w:t>
      </w:r>
      <w:r>
        <w:t xml:space="preserve">“</w:t>
      </w:r>
      <w:r>
        <w:rPr>
          <w:b/>
          <w:bCs/>
        </w:rPr>
        <w:t xml:space="preserve">Landlord</w:t>
      </w:r>
      <w:r>
        <w:t xml:space="preserve">”</w:t>
      </w:r>
      <w:r>
        <w:t xml:space="preserve">), and</w:t>
      </w:r>
      <w:r>
        <w:t xml:space="preserve"> </w:t>
      </w:r>
      <w:r>
        <w:rPr>
          <w:b/>
          <w:bCs/>
        </w:rPr>
        <w:t xml:space="preserve">ATTICUS DUNDEE INC.</w:t>
      </w:r>
      <w:r>
        <w:t xml:space="preserve">, a Delaware corporation (</w:t>
      </w:r>
      <w:r>
        <w:t xml:space="preserve">“</w:t>
      </w:r>
      <w:r>
        <w:rPr>
          <w:b/>
          <w:bCs/>
        </w:rPr>
        <w:t xml:space="preserve">Tenant</w:t>
      </w:r>
      <w:r>
        <w:t xml:space="preserve">”</w:t>
      </w:r>
      <w:r>
        <w:t xml:space="preserve">).</w:t>
      </w:r>
    </w:p>
    <w:bookmarkStart w:id="9" w:name="Xbc14963e0bb6db60321f783b01c221008ceac86"/>
    <w:p>
      <w:pPr>
        <w:pStyle w:val="Heading2"/>
      </w:pPr>
      <w:r>
        <w:rPr>
          <w:rStyle w:val="SectionNumber"/>
        </w:rPr>
        <w:t xml:space="preserve">1.1</w:t>
      </w:r>
      <w:r>
        <w:tab/>
      </w:r>
      <w:r>
        <w:t xml:space="preserve">Article 1. Basic Lease Provisions and Definitions</w:t>
      </w:r>
    </w:p>
    <w:p>
      <w:pPr>
        <w:pStyle w:val="FirstParagraph"/>
      </w:pPr>
      <w:r>
        <w:t xml:space="preserve">The following terms have the meanings set out in this Article 1 wherever they are used in this Lease. In the event of a conflict between this Article 1 and any other provision of this Lease, the other provision controls.</w:t>
      </w:r>
    </w:p>
    <w:p>
      <w:pPr>
        <w:pStyle w:val="BodyText"/>
      </w:pPr>
      <w:r>
        <w:rPr>
          <w:b/>
          <w:bCs/>
        </w:rPr>
        <w:t xml:space="preserve">1.1 Landlord.</w:t>
      </w:r>
      <w:r>
        <w:t xml:space="preserve"> </w:t>
      </w:r>
      <w:r>
        <w:t xml:space="preserve">Ashgrove Properties LLC, a Delaware limited liability company, c/o Ashgrove Asset Management, 77 Ferry Landing Road, Suite 250, Wilmington, Delaware 19801.</w:t>
      </w:r>
    </w:p>
    <w:p>
      <w:pPr>
        <w:pStyle w:val="BodyText"/>
      </w:pPr>
      <w:r>
        <w:rPr>
          <w:b/>
          <w:bCs/>
        </w:rPr>
        <w:t xml:space="preserve">1.2 Tenant.</w:t>
      </w:r>
      <w:r>
        <w:t xml:space="preserve"> </w:t>
      </w:r>
      <w:r>
        <w:t xml:space="preserve">Atticus Dundee Inc., a Delaware corporation, whose notice address before the Commencement Date is 1450 Halverson Quay, Suite 600, Wilmington, Delaware 19801.</w:t>
      </w:r>
    </w:p>
    <w:p>
      <w:pPr>
        <w:pStyle w:val="BodyText"/>
      </w:pPr>
      <w:r>
        <w:rPr>
          <w:b/>
          <w:bCs/>
        </w:rPr>
        <w:t xml:space="preserve">1.3 Building.</w:t>
      </w:r>
      <w:r>
        <w:t xml:space="preserve"> </w:t>
      </w:r>
      <w:r>
        <w:t xml:space="preserve">The office building commonly known as Halverson Quay Center, located at 1450 Halverson Quay, Wilmington, Delaware 19801, containing 168,000 rentable square feet.</w:t>
      </w:r>
    </w:p>
    <w:p>
      <w:pPr>
        <w:pStyle w:val="BodyText"/>
      </w:pPr>
      <w:r>
        <w:rPr>
          <w:b/>
          <w:bCs/>
        </w:rPr>
        <w:t xml:space="preserve">1.4 Premises.</w:t>
      </w:r>
      <w:r>
        <w:t xml:space="preserve"> </w:t>
      </w:r>
      <w:r>
        <w:t xml:space="preserve">Suite 600, consisting of the entirety of the fifth and sixth floors of the Building, containing 42,000 rentable square feet, as shown on the floor plan attached as</w:t>
      </w:r>
      <w:r>
        <w:t xml:space="preserve"> </w:t>
      </w:r>
      <w:r>
        <w:rPr>
          <w:b/>
          <w:bCs/>
        </w:rPr>
        <w:t xml:space="preserve">Exhibit A</w:t>
      </w:r>
      <w:r>
        <w:t xml:space="preserve">.</w:t>
      </w:r>
    </w:p>
    <w:p>
      <w:pPr>
        <w:pStyle w:val="BodyText"/>
      </w:pPr>
      <w:r>
        <w:rPr>
          <w:b/>
          <w:bCs/>
        </w:rPr>
        <w:t xml:space="preserve">1.5 Commencement Date.</w:t>
      </w:r>
      <w:r>
        <w:t xml:space="preserve"> </w:t>
      </w:r>
      <w:r>
        <w:rPr>
          <w:b/>
          <w:bCs/>
        </w:rPr>
        <w:t xml:space="preserve">October 1, 2024.</w:t>
      </w:r>
    </w:p>
    <w:p>
      <w:pPr>
        <w:pStyle w:val="BodyText"/>
      </w:pPr>
      <w:r>
        <w:rPr>
          <w:b/>
          <w:bCs/>
        </w:rPr>
        <w:t xml:space="preserve">1.6 Expiration Date.</w:t>
      </w:r>
      <w:r>
        <w:t xml:space="preserve"> </w:t>
      </w:r>
      <w:r>
        <w:rPr>
          <w:b/>
          <w:bCs/>
        </w:rPr>
        <w:t xml:space="preserve">September 30, 2031.</w:t>
      </w:r>
    </w:p>
    <w:p>
      <w:pPr>
        <w:pStyle w:val="BodyText"/>
      </w:pPr>
      <w:r>
        <w:rPr>
          <w:b/>
          <w:bCs/>
        </w:rPr>
        <w:t xml:space="preserve">1.7 Initial Term.</w:t>
      </w:r>
      <w:r>
        <w:t xml:space="preserve"> </w:t>
      </w:r>
      <w:r>
        <w:t xml:space="preserve">Eighty-four (84) full calendar months, beginning on the Commencement Date and ending on the Expiration Date, unless sooner terminated or extended in accordance with this Lease.</w:t>
      </w:r>
    </w:p>
    <w:p>
      <w:pPr>
        <w:pStyle w:val="BodyText"/>
      </w:pPr>
      <w:r>
        <w:rPr>
          <w:b/>
          <w:bCs/>
        </w:rPr>
        <w:t xml:space="preserve">1.8 Renewal Options.</w:t>
      </w:r>
      <w:r>
        <w:t xml:space="preserve"> </w:t>
      </w:r>
      <w:r>
        <w:t xml:space="preserve">Two (2) consecutive options to extend the Term, each for a period of five (5) years, exercisable in accordance with Section 3.4.</w:t>
      </w:r>
    </w:p>
    <w:p>
      <w:pPr>
        <w:pStyle w:val="BodyText"/>
      </w:pPr>
      <w:r>
        <w:rPr>
          <w:b/>
          <w:bCs/>
        </w:rPr>
        <w:t xml:space="preserve">1.9 Base Rent.</w:t>
      </w:r>
      <w:r>
        <w:t xml:space="preserve"> </w:t>
      </w:r>
      <w:r>
        <w:t xml:space="preserve">As set out in the schedule in Section 4.1.</w:t>
      </w:r>
    </w:p>
    <w:p>
      <w:pPr>
        <w:pStyle w:val="BodyText"/>
      </w:pPr>
      <w:r>
        <w:rPr>
          <w:b/>
          <w:bCs/>
        </w:rPr>
        <w:t xml:space="preserve">1.10 Tenant’s Proportionate Share.</w:t>
      </w:r>
      <w:r>
        <w:t xml:space="preserve"> </w:t>
      </w:r>
      <w:r>
        <w:t xml:space="preserve">Twenty-five percent (25.00%), calculated as the rentable square footage of the Premises divided by the rentable square footage of the Building.</w:t>
      </w:r>
    </w:p>
    <w:p>
      <w:pPr>
        <w:pStyle w:val="BodyText"/>
      </w:pPr>
      <w:r>
        <w:rPr>
          <w:b/>
          <w:bCs/>
        </w:rPr>
        <w:t xml:space="preserve">1.11 Base Year.</w:t>
      </w:r>
      <w:r>
        <w:t xml:space="preserve"> </w:t>
      </w:r>
      <w:r>
        <w:t xml:space="preserve">Calendar year 2024.</w:t>
      </w:r>
    </w:p>
    <w:p>
      <w:pPr>
        <w:pStyle w:val="BodyText"/>
      </w:pPr>
      <w:r>
        <w:rPr>
          <w:b/>
          <w:bCs/>
        </w:rPr>
        <w:t xml:space="preserve">1.12 Security Deposit.</w:t>
      </w:r>
      <w:r>
        <w:t xml:space="preserve"> </w:t>
      </w:r>
      <w:r>
        <w:t xml:space="preserve">Three hundred seventy-eight thousand dollars ($378,000).</w:t>
      </w:r>
    </w:p>
    <w:p>
      <w:pPr>
        <w:pStyle w:val="BodyText"/>
      </w:pPr>
      <w:r>
        <w:rPr>
          <w:b/>
          <w:bCs/>
        </w:rPr>
        <w:t xml:space="preserve">1.13 Permitted Use.</w:t>
      </w:r>
      <w:r>
        <w:t xml:space="preserve"> </w:t>
      </w:r>
      <w:r>
        <w:t xml:space="preserve">General business office use, including software development, customer support operations, training, and ancillary uses customary for a professional office tenant, and for no other purpose.</w:t>
      </w:r>
    </w:p>
    <w:p>
      <w:pPr>
        <w:pStyle w:val="BodyText"/>
      </w:pPr>
      <w:r>
        <w:rPr>
          <w:b/>
          <w:bCs/>
        </w:rPr>
        <w:t xml:space="preserve">1.14 Parking.</w:t>
      </w:r>
      <w:r>
        <w:t xml:space="preserve"> </w:t>
      </w:r>
      <w:r>
        <w:t xml:space="preserve">One hundred five (105) unreserved parking spaces in the Building garage, of which ten (10) are reserved spaces, as provided in Article 23.</w:t>
      </w:r>
    </w:p>
    <w:p>
      <w:pPr>
        <w:pStyle w:val="BodyText"/>
      </w:pPr>
      <w:r>
        <w:rPr>
          <w:b/>
          <w:bCs/>
        </w:rPr>
        <w:t xml:space="preserve">1.15 Tenant Improvement Allowance.</w:t>
      </w:r>
      <w:r>
        <w:t xml:space="preserve"> </w:t>
      </w:r>
      <w:r>
        <w:t xml:space="preserve">Sixty-five dollars ($65.00) per rentable square foot of the Premises, or two million seven hundred thirty thousand dollars ($2,730,000) in the aggregate, disbursed in accordance with the Work Letter attached as</w:t>
      </w:r>
      <w:r>
        <w:t xml:space="preserve"> </w:t>
      </w:r>
      <w:r>
        <w:rPr>
          <w:b/>
          <w:bCs/>
        </w:rPr>
        <w:t xml:space="preserve">Exhibit C</w:t>
      </w:r>
      <w:r>
        <w:t xml:space="preserve">.</w:t>
      </w:r>
    </w:p>
    <w:p>
      <w:pPr>
        <w:pStyle w:val="BodyText"/>
      </w:pPr>
      <w:r>
        <w:rPr>
          <w:b/>
          <w:bCs/>
        </w:rPr>
        <w:t xml:space="preserve">1.16 Business Day.</w:t>
      </w:r>
      <w:r>
        <w:t xml:space="preserve"> </w:t>
      </w:r>
      <w:r>
        <w:t xml:space="preserve">Any day other than a Saturday, Sunday, or day on which national banks in Wilmington, Delaware are authorized or required to close.</w:t>
      </w:r>
    </w:p>
    <w:p>
      <w:pPr>
        <w:pStyle w:val="BodyText"/>
      </w:pPr>
      <w:r>
        <w:rPr>
          <w:b/>
          <w:bCs/>
        </w:rPr>
        <w:t xml:space="preserve">1.17 Term.</w:t>
      </w:r>
      <w:r>
        <w:t xml:space="preserve"> </w:t>
      </w:r>
      <w:r>
        <w:t xml:space="preserve">The Initial Term together with any Renewal Term for which Tenant properly exercises a Renewal Option.</w:t>
      </w:r>
    </w:p>
    <w:bookmarkEnd w:id="9"/>
    <w:bookmarkStart w:id="10" w:name="article-2.-premises"/>
    <w:p>
      <w:pPr>
        <w:pStyle w:val="Heading2"/>
      </w:pPr>
      <w:r>
        <w:rPr>
          <w:rStyle w:val="SectionNumber"/>
        </w:rPr>
        <w:t xml:space="preserve">1.2</w:t>
      </w:r>
      <w:r>
        <w:tab/>
      </w:r>
      <w:r>
        <w:t xml:space="preserve">Article 2. Premises</w:t>
      </w:r>
    </w:p>
    <w:p>
      <w:pPr>
        <w:pStyle w:val="FirstParagraph"/>
      </w:pPr>
      <w:r>
        <w:rPr>
          <w:b/>
          <w:bCs/>
        </w:rPr>
        <w:t xml:space="preserve">2.1 Demise.</w:t>
      </w:r>
      <w:r>
        <w:t xml:space="preserve"> </w:t>
      </w:r>
      <w:r>
        <w:t xml:space="preserve">Landlord leases to Tenant, and Tenant leases from Landlord, the Premises, together with the non-exclusive right to use the Common Areas, subject to the terms of this Lease.</w:t>
      </w:r>
    </w:p>
    <w:p>
      <w:pPr>
        <w:pStyle w:val="BodyText"/>
      </w:pPr>
      <w:r>
        <w:rPr>
          <w:b/>
          <w:bCs/>
        </w:rPr>
        <w:t xml:space="preserve">2.2 Common Areas.</w:t>
      </w:r>
      <w:r>
        <w:t xml:space="preserve"> </w:t>
      </w:r>
      <w:r>
        <w:t xml:space="preserve">“</w:t>
      </w:r>
      <w:r>
        <w:rPr>
          <w:b/>
          <w:bCs/>
        </w:rPr>
        <w:t xml:space="preserve">Common Areas</w:t>
      </w:r>
      <w:r>
        <w:t xml:space="preserve">”</w:t>
      </w:r>
      <w:r>
        <w:t xml:space="preserve"> </w:t>
      </w:r>
      <w:r>
        <w:t xml:space="preserve">means those portions of the Building and the land on which it is situated that are made available for the general use of tenants and their invitees, including lobbies, elevators, corridors, stairwells, restrooms on multi-tenant floors, loading areas, the garage, and landscaped areas. Landlord may change the configuration of the Common Areas from time to time, provided that no change materially and adversely affects Tenant’s access to or use of the Premises.</w:t>
      </w:r>
    </w:p>
    <w:p>
      <w:pPr>
        <w:pStyle w:val="BodyText"/>
      </w:pPr>
      <w:r>
        <w:rPr>
          <w:b/>
          <w:bCs/>
        </w:rPr>
        <w:t xml:space="preserve">2.3 Measurement.</w:t>
      </w:r>
      <w:r>
        <w:t xml:space="preserve"> </w:t>
      </w:r>
      <w:r>
        <w:t xml:space="preserve">The rentable square footage figures stated in Sections 1.3 and 1.4 have been determined in accordance with the ANSI/BOMA Z65.1 standard for measuring floor area in office buildings and are conclusive for all purposes under this Lease, absent manifest error.</w:t>
      </w:r>
    </w:p>
    <w:p>
      <w:pPr>
        <w:pStyle w:val="BodyText"/>
      </w:pPr>
      <w:r>
        <w:rPr>
          <w:b/>
          <w:bCs/>
        </w:rPr>
        <w:t xml:space="preserve">2.4 Condition.</w:t>
      </w:r>
      <w:r>
        <w:t xml:space="preserve"> </w:t>
      </w:r>
      <w:r>
        <w:t xml:space="preserve">Except for Landlord’s Work described in the Work Letter, Tenant accepts the Premises in their</w:t>
      </w:r>
      <w:r>
        <w:t xml:space="preserve"> </w:t>
      </w:r>
      <w:r>
        <w:t xml:space="preserve">“as is”</w:t>
      </w:r>
      <w:r>
        <w:t xml:space="preserve"> </w:t>
      </w:r>
      <w:r>
        <w:t xml:space="preserve">condition as of the Commencement Date. Landlord represents that, as of the Commencement Date, the base building systems serving the Premises (mechanical, electrical, plumbing, life safety, and elevator) will be in good working order and the Building will comply in all material respects with applicable laws, including the Americans with Disabilities Act, as to the Common Areas.</w:t>
      </w:r>
    </w:p>
    <w:bookmarkEnd w:id="10"/>
    <w:bookmarkStart w:id="11" w:name="article-3.-term-commencement-and-renewal"/>
    <w:p>
      <w:pPr>
        <w:pStyle w:val="Heading2"/>
      </w:pPr>
      <w:r>
        <w:rPr>
          <w:rStyle w:val="SectionNumber"/>
        </w:rPr>
        <w:t xml:space="preserve">1.3</w:t>
      </w:r>
      <w:r>
        <w:tab/>
      </w:r>
      <w:r>
        <w:t xml:space="preserve">Article 3. Term, Commencement, and Renewal</w:t>
      </w:r>
    </w:p>
    <w:p>
      <w:pPr>
        <w:pStyle w:val="FirstParagraph"/>
      </w:pPr>
      <w:r>
        <w:rPr>
          <w:b/>
          <w:bCs/>
        </w:rPr>
        <w:t xml:space="preserve">3.1 Term.</w:t>
      </w:r>
      <w:r>
        <w:t xml:space="preserve"> </w:t>
      </w:r>
      <w:r>
        <w:t xml:space="preserve">The Initial Term begins on the Commencement Date of October 1, 2024 and ends on the Expiration Date of September 30, 2031, unless sooner terminated or extended in accordance with this Lease.</w:t>
      </w:r>
    </w:p>
    <w:p>
      <w:pPr>
        <w:pStyle w:val="BodyText"/>
      </w:pPr>
      <w:r>
        <w:rPr>
          <w:b/>
          <w:bCs/>
        </w:rPr>
        <w:t xml:space="preserve">3.2 Commencement Date Certificate.</w:t>
      </w:r>
      <w:r>
        <w:t xml:space="preserve"> </w:t>
      </w:r>
      <w:r>
        <w:t xml:space="preserve">Within thirty (30) days after the Commencement Date, the parties will execute a Commencement Date Certificate in the form attached as</w:t>
      </w:r>
      <w:r>
        <w:t xml:space="preserve"> </w:t>
      </w:r>
      <w:r>
        <w:rPr>
          <w:b/>
          <w:bCs/>
        </w:rPr>
        <w:t xml:space="preserve">Exhibit D</w:t>
      </w:r>
      <w:r>
        <w:t xml:space="preserve">, confirming the Commencement Date, the Expiration Date, and the rentable square footage of the Premises. Failure to execute the certificate does not affect the commencement or expiration of the Term.</w:t>
      </w:r>
    </w:p>
    <w:p>
      <w:pPr>
        <w:pStyle w:val="BodyText"/>
      </w:pPr>
      <w:r>
        <w:rPr>
          <w:b/>
          <w:bCs/>
        </w:rPr>
        <w:t xml:space="preserve">3.3 Early Access.</w:t>
      </w:r>
      <w:r>
        <w:t xml:space="preserve"> </w:t>
      </w:r>
      <w:r>
        <w:t xml:space="preserve">Landlord will permit Tenant and its contractors access to the Premises beginning thirty (30) days before the Commencement Date for the purpose of installing furniture, cabling, and equipment, provided that Tenant carries the insurance required by Article 12 and does not interfere with the completion of Landlord’s Work. Early access under this Section 3.3 does not trigger the obligation to pay Base Rent or Additional Rent.</w:t>
      </w:r>
    </w:p>
    <w:p>
      <w:pPr>
        <w:pStyle w:val="BodyText"/>
      </w:pPr>
      <w:r>
        <w:rPr>
          <w:b/>
          <w:bCs/>
        </w:rPr>
        <w:t xml:space="preserve">3.4 Renewal Options.</w:t>
      </w:r>
      <w:r>
        <w:t xml:space="preserve"> </w:t>
      </w:r>
      <w:r>
        <w:t xml:space="preserve">Provided that no Event of Default is then continuing and Tenant is in occupancy of at least seventy-five percent (75%) of the Premises, Tenant may extend the Term for two (2) consecutive periods of five (5) years each (each, a</w:t>
      </w:r>
      <w:r>
        <w:t xml:space="preserve"> </w:t>
      </w:r>
      <w:r>
        <w:t xml:space="preserve">“</w:t>
      </w:r>
      <w:r>
        <w:rPr>
          <w:b/>
          <w:bCs/>
        </w:rPr>
        <w:t xml:space="preserve">Renewal Term</w:t>
      </w:r>
      <w:r>
        <w:t xml:space="preserve">”</w:t>
      </w:r>
      <w:r>
        <w:t xml:space="preserve">)</w:t>
      </w:r>
      <w:r>
        <w:t xml:space="preserve"> </w:t>
      </w:r>
      <w:r>
        <w:rPr>
          <w:b/>
          <w:bCs/>
        </w:rPr>
        <w:t xml:space="preserve">by delivering written notice of exercise to Landlord not less than nine (9) months prior to the expiration of the then-current Term.</w:t>
      </w:r>
      <w:r>
        <w:t xml:space="preserve"> </w:t>
      </w:r>
      <w:r>
        <w:t xml:space="preserve">Time is of the essence as to the delivery of that notice. If Tenant fails to deliver the notice within the period required by this Section 3.4, the applicable Renewal Option lapses and is of no further force or effect.</w:t>
      </w:r>
    </w:p>
    <w:p>
      <w:pPr>
        <w:pStyle w:val="BodyText"/>
      </w:pPr>
      <w:r>
        <w:rPr>
          <w:b/>
          <w:bCs/>
        </w:rPr>
        <w:t xml:space="preserve">3.5 Renewal Rent.</w:t>
      </w:r>
      <w:r>
        <w:t xml:space="preserve"> </w:t>
      </w:r>
      <w:r>
        <w:t xml:space="preserve">Base Rent for each Renewal Term will be ninety-five percent (95%) of the Fair Market Rental Rate for comparable office space in comparable buildings in the Wilmington, Delaware central business district, determined as of the date that is six (6) months before the commencement of the Renewal Term, but in no event less than the Base Rent payable during the last twelve (12) months of the then-expiring Term. Landlord will notify Tenant of its determination of the Fair Market Rental Rate within thirty (30) days after receipt of Tenant’s exercise notice. If Tenant disputes that determination within fifteen (15) Business Days, the parties will each appoint a licensed appraiser with at least ten (10) years of experience in the Wilmington office market, and if those appraisers cannot agree within thirty (30) days, they will jointly appoint a third appraiser whose determination, which must be one of the two determinations submitted by the party-appointed appraisers, is binding.</w:t>
      </w:r>
    </w:p>
    <w:p>
      <w:pPr>
        <w:pStyle w:val="BodyText"/>
      </w:pPr>
      <w:r>
        <w:rPr>
          <w:b/>
          <w:bCs/>
        </w:rPr>
        <w:t xml:space="preserve">3.6 Renewal Terms Otherwise Unchanged.</w:t>
      </w:r>
      <w:r>
        <w:t xml:space="preserve"> </w:t>
      </w:r>
      <w:r>
        <w:t xml:space="preserve">Except for Base Rent and the further Renewal Options consumed by exercise, each Renewal Term is on all the terms of this Lease, and no additional tenant improvement allowance, free rent, or other concession applies.</w:t>
      </w:r>
    </w:p>
    <w:bookmarkEnd w:id="11"/>
    <w:bookmarkStart w:id="12" w:name="article-4.-base-rent"/>
    <w:p>
      <w:pPr>
        <w:pStyle w:val="Heading2"/>
      </w:pPr>
      <w:r>
        <w:rPr>
          <w:rStyle w:val="SectionNumber"/>
        </w:rPr>
        <w:t xml:space="preserve">1.4</w:t>
      </w:r>
      <w:r>
        <w:tab/>
      </w:r>
      <w:r>
        <w:t xml:space="preserve">Article 4. Base Rent</w:t>
      </w:r>
    </w:p>
    <w:p>
      <w:pPr>
        <w:pStyle w:val="FirstParagraph"/>
      </w:pPr>
      <w:r>
        <w:rPr>
          <w:b/>
          <w:bCs/>
        </w:rPr>
        <w:t xml:space="preserve">4.1 Base Rent Schedule.</w:t>
      </w:r>
      <w:r>
        <w:t xml:space="preserve"> </w:t>
      </w:r>
      <w:r>
        <w:t xml:space="preserve">Tenant will pay Base Rent in monthly installments in advance on the first day of each calendar month, without notice, demand, deduction, or offset except as expressly permitted by this Lease, in the amounts set out below: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Lease Year</w:t>
            </w:r>
          </w:p>
        </w:tc>
        <w:tc>
          <w:tcPr/>
          <w:p>
            <w:pPr>
              <w:pStyle w:val="Compact"/>
            </w:pPr>
            <w:r>
              <w:t xml:space="preserve">Period</w:t>
            </w:r>
          </w:p>
        </w:tc>
        <w:tc>
          <w:tcPr/>
          <w:p>
            <w:pPr>
              <w:pStyle w:val="Compact"/>
            </w:pPr>
            <w:r>
              <w:t xml:space="preserve">Annual Rate per Rentable Square Foot</w:t>
            </w:r>
          </w:p>
        </w:tc>
        <w:tc>
          <w:tcPr/>
          <w:p>
            <w:pPr>
              <w:pStyle w:val="Compact"/>
            </w:pPr>
            <w:r>
              <w:t xml:space="preserve">Annual Base Rent</w:t>
            </w:r>
          </w:p>
        </w:tc>
        <w:tc>
          <w:tcPr/>
          <w:p>
            <w:pPr>
              <w:pStyle w:val="Compact"/>
            </w:pPr>
            <w:r>
              <w:t xml:space="preserve">Monthly Installment</w:t>
            </w:r>
          </w:p>
        </w:tc>
      </w:tr>
      <w:tr>
        <w:tc>
          <w:tcPr/>
          <w:p>
            <w:pPr>
              <w:pStyle w:val="Compact"/>
            </w:pPr>
            <w:r>
              <w:t xml:space="preserve">1</w:t>
            </w:r>
          </w:p>
        </w:tc>
        <w:tc>
          <w:tcPr/>
          <w:p>
            <w:pPr>
              <w:pStyle w:val="Compact"/>
            </w:pPr>
            <w:r>
              <w:t xml:space="preserve">10/01/2024 - 09/30/2025</w:t>
            </w:r>
          </w:p>
        </w:tc>
        <w:tc>
          <w:tcPr/>
          <w:p>
            <w:pPr>
              <w:pStyle w:val="Compact"/>
            </w:pPr>
            <w:r>
              <w:t xml:space="preserve">$36.00</w:t>
            </w:r>
          </w:p>
        </w:tc>
        <w:tc>
          <w:tcPr/>
          <w:p>
            <w:pPr>
              <w:pStyle w:val="Compact"/>
            </w:pPr>
            <w:r>
              <w:t xml:space="preserve">$1,512,000</w:t>
            </w:r>
          </w:p>
        </w:tc>
        <w:tc>
          <w:tcPr/>
          <w:p>
            <w:pPr>
              <w:pStyle w:val="Compact"/>
            </w:pPr>
            <w:r>
              <w:t xml:space="preserve">$126,000.00</w:t>
            </w:r>
          </w:p>
        </w:tc>
      </w:tr>
      <w:tr>
        <w:tc>
          <w:tcPr/>
          <w:p>
            <w:pPr>
              <w:pStyle w:val="Compact"/>
            </w:pPr>
            <w:r>
              <w:t xml:space="preserve">2</w:t>
            </w:r>
          </w:p>
        </w:tc>
        <w:tc>
          <w:tcPr/>
          <w:p>
            <w:pPr>
              <w:pStyle w:val="Compact"/>
            </w:pPr>
            <w:r>
              <w:t xml:space="preserve">10/01/2025 - 09/30/2026</w:t>
            </w:r>
          </w:p>
        </w:tc>
        <w:tc>
          <w:tcPr/>
          <w:p>
            <w:pPr>
              <w:pStyle w:val="Compact"/>
            </w:pPr>
            <w:r>
              <w:t xml:space="preserve">$37.08</w:t>
            </w:r>
          </w:p>
        </w:tc>
        <w:tc>
          <w:tcPr/>
          <w:p>
            <w:pPr>
              <w:pStyle w:val="Compact"/>
            </w:pPr>
            <w:r>
              <w:t xml:space="preserve">$1,557,360</w:t>
            </w:r>
          </w:p>
        </w:tc>
        <w:tc>
          <w:tcPr/>
          <w:p>
            <w:pPr>
              <w:pStyle w:val="Compact"/>
            </w:pPr>
            <w:r>
              <w:t xml:space="preserve">$129,780.00</w:t>
            </w:r>
          </w:p>
        </w:tc>
      </w:tr>
      <w:tr>
        <w:tc>
          <w:tcPr/>
          <w:p>
            <w:pPr>
              <w:pStyle w:val="Compact"/>
            </w:pPr>
            <w:r>
              <w:t xml:space="preserve">3</w:t>
            </w:r>
          </w:p>
        </w:tc>
        <w:tc>
          <w:tcPr/>
          <w:p>
            <w:pPr>
              <w:pStyle w:val="Compact"/>
            </w:pPr>
            <w:r>
              <w:t xml:space="preserve">10/01/2026 - 09/30/2027</w:t>
            </w:r>
          </w:p>
        </w:tc>
        <w:tc>
          <w:tcPr/>
          <w:p>
            <w:pPr>
              <w:pStyle w:val="Compact"/>
            </w:pPr>
            <w:r>
              <w:t xml:space="preserve">$38.19</w:t>
            </w:r>
          </w:p>
        </w:tc>
        <w:tc>
          <w:tcPr/>
          <w:p>
            <w:pPr>
              <w:pStyle w:val="Compact"/>
            </w:pPr>
            <w:r>
              <w:t xml:space="preserve">$1,603,980</w:t>
            </w:r>
          </w:p>
        </w:tc>
        <w:tc>
          <w:tcPr/>
          <w:p>
            <w:pPr>
              <w:pStyle w:val="Compact"/>
            </w:pPr>
            <w:r>
              <w:t xml:space="preserve">$133,665.00</w:t>
            </w:r>
          </w:p>
        </w:tc>
      </w:tr>
      <w:tr>
        <w:tc>
          <w:tcPr/>
          <w:p>
            <w:pPr>
              <w:pStyle w:val="Compact"/>
            </w:pPr>
            <w:r>
              <w:t xml:space="preserve">4</w:t>
            </w:r>
          </w:p>
        </w:tc>
        <w:tc>
          <w:tcPr/>
          <w:p>
            <w:pPr>
              <w:pStyle w:val="Compact"/>
            </w:pPr>
            <w:r>
              <w:t xml:space="preserve">10/01/2027 - 09/30/2028</w:t>
            </w:r>
          </w:p>
        </w:tc>
        <w:tc>
          <w:tcPr/>
          <w:p>
            <w:pPr>
              <w:pStyle w:val="Compact"/>
            </w:pPr>
            <w:r>
              <w:t xml:space="preserve">$39.34</w:t>
            </w:r>
          </w:p>
        </w:tc>
        <w:tc>
          <w:tcPr/>
          <w:p>
            <w:pPr>
              <w:pStyle w:val="Compact"/>
            </w:pPr>
            <w:r>
              <w:t xml:space="preserve">$1,652,280</w:t>
            </w:r>
          </w:p>
        </w:tc>
        <w:tc>
          <w:tcPr/>
          <w:p>
            <w:pPr>
              <w:pStyle w:val="Compact"/>
            </w:pPr>
            <w:r>
              <w:t xml:space="preserve">$137,690.00</w:t>
            </w:r>
          </w:p>
        </w:tc>
      </w:tr>
      <w:tr>
        <w:tc>
          <w:tcPr/>
          <w:p>
            <w:pPr>
              <w:pStyle w:val="Compact"/>
            </w:pPr>
            <w:r>
              <w:t xml:space="preserve">5</w:t>
            </w:r>
          </w:p>
        </w:tc>
        <w:tc>
          <w:tcPr/>
          <w:p>
            <w:pPr>
              <w:pStyle w:val="Compact"/>
            </w:pPr>
            <w:r>
              <w:t xml:space="preserve">10/01/2028 - 09/30/2029</w:t>
            </w:r>
          </w:p>
        </w:tc>
        <w:tc>
          <w:tcPr/>
          <w:p>
            <w:pPr>
              <w:pStyle w:val="Compact"/>
            </w:pPr>
            <w:r>
              <w:t xml:space="preserve">$40.52</w:t>
            </w:r>
          </w:p>
        </w:tc>
        <w:tc>
          <w:tcPr/>
          <w:p>
            <w:pPr>
              <w:pStyle w:val="Compact"/>
            </w:pPr>
            <w:r>
              <w:t xml:space="preserve">$1,701,840</w:t>
            </w:r>
          </w:p>
        </w:tc>
        <w:tc>
          <w:tcPr/>
          <w:p>
            <w:pPr>
              <w:pStyle w:val="Compact"/>
            </w:pPr>
            <w:r>
              <w:t xml:space="preserve">$141,820.00</w:t>
            </w:r>
          </w:p>
        </w:tc>
      </w:tr>
      <w:tr>
        <w:tc>
          <w:tcPr/>
          <w:p>
            <w:pPr>
              <w:pStyle w:val="Compact"/>
            </w:pPr>
            <w:r>
              <w:t xml:space="preserve">6</w:t>
            </w:r>
          </w:p>
        </w:tc>
        <w:tc>
          <w:tcPr/>
          <w:p>
            <w:pPr>
              <w:pStyle w:val="Compact"/>
            </w:pPr>
            <w:r>
              <w:t xml:space="preserve">10/01/2029 - 09/30/2030</w:t>
            </w:r>
          </w:p>
        </w:tc>
        <w:tc>
          <w:tcPr/>
          <w:p>
            <w:pPr>
              <w:pStyle w:val="Compact"/>
            </w:pPr>
            <w:r>
              <w:t xml:space="preserve">$41.74</w:t>
            </w:r>
          </w:p>
        </w:tc>
        <w:tc>
          <w:tcPr/>
          <w:p>
            <w:pPr>
              <w:pStyle w:val="Compact"/>
            </w:pPr>
            <w:r>
              <w:t xml:space="preserve">$1,753,080</w:t>
            </w:r>
          </w:p>
        </w:tc>
        <w:tc>
          <w:tcPr/>
          <w:p>
            <w:pPr>
              <w:pStyle w:val="Compact"/>
            </w:pPr>
            <w:r>
              <w:t xml:space="preserve">$146,090.00</w:t>
            </w:r>
          </w:p>
        </w:tc>
      </w:tr>
      <w:tr>
        <w:tc>
          <w:tcPr/>
          <w:p>
            <w:pPr>
              <w:pStyle w:val="Compact"/>
            </w:pPr>
            <w:r>
              <w:t xml:space="preserve">7</w:t>
            </w:r>
          </w:p>
        </w:tc>
        <w:tc>
          <w:tcPr/>
          <w:p>
            <w:pPr>
              <w:pStyle w:val="Compact"/>
            </w:pPr>
            <w:r>
              <w:t xml:space="preserve">10/01/2030 - 09/30/2031</w:t>
            </w:r>
          </w:p>
        </w:tc>
        <w:tc>
          <w:tcPr/>
          <w:p>
            <w:pPr>
              <w:pStyle w:val="Compact"/>
            </w:pPr>
            <w:r>
              <w:t xml:space="preserve">$42.99</w:t>
            </w:r>
          </w:p>
        </w:tc>
        <w:tc>
          <w:tcPr/>
          <w:p>
            <w:pPr>
              <w:pStyle w:val="Compact"/>
            </w:pPr>
            <w:r>
              <w:t xml:space="preserve">$1,805,580</w:t>
            </w:r>
          </w:p>
        </w:tc>
        <w:tc>
          <w:tcPr/>
          <w:p>
            <w:pPr>
              <w:pStyle w:val="Compact"/>
            </w:pPr>
            <w:r>
              <w:t xml:space="preserve">$150,465.00</w:t>
            </w:r>
          </w:p>
        </w:tc>
      </w:tr>
    </w:tbl>
    <w:p>
      <w:pPr>
        <w:pStyle w:val="BodyText"/>
      </w:pPr>
      <w:r>
        <w:rPr>
          <w:b/>
          <w:bCs/>
        </w:rPr>
        <w:t xml:space="preserve">4.2 Rent Abatement.</w:t>
      </w:r>
      <w:r>
        <w:t xml:space="preserve"> </w:t>
      </w:r>
      <w:r>
        <w:t xml:space="preserve">So long as no Event of Default is continuing, Base Rent is abated in full for the first two (2) full calendar months of the Initial Term. The abatement in this Section 4.2 does not apply to Additional Rent, which is payable from the Commencement Date.</w:t>
      </w:r>
    </w:p>
    <w:p>
      <w:pPr>
        <w:pStyle w:val="BodyText"/>
      </w:pPr>
      <w:r>
        <w:rPr>
          <w:b/>
          <w:bCs/>
        </w:rPr>
        <w:t xml:space="preserve">4.3 Payment.</w:t>
      </w:r>
      <w:r>
        <w:t xml:space="preserve"> </w:t>
      </w:r>
      <w:r>
        <w:t xml:space="preserve">Base Rent and Additional Rent are payable by electronic funds transfer to the account designated by Landlord in writing from time to time. If the Term begins or ends on a day other than the first or last day of a calendar month, Base Rent for that month is prorated on a per diem basis.</w:t>
      </w:r>
    </w:p>
    <w:p>
      <w:pPr>
        <w:pStyle w:val="BodyText"/>
      </w:pPr>
      <w:r>
        <w:rPr>
          <w:b/>
          <w:bCs/>
        </w:rPr>
        <w:t xml:space="preserve">4.4 Late Charge and Interest.</w:t>
      </w:r>
      <w:r>
        <w:t xml:space="preserve"> </w:t>
      </w:r>
      <w:r>
        <w:t xml:space="preserve">If any installment of Base Rent or Additional Rent is not received within five (5) Business Days after it is due, Tenant will pay a late charge equal to three percent (3%) of the overdue amount, and the overdue amount will bear interest from its due date until paid at the lesser of twelve percent (12%) per annum or the maximum rate permitted by applicable law. The late charge is compensation for administrative expense and is not a penalty or interest.</w:t>
      </w:r>
    </w:p>
    <w:p>
      <w:pPr>
        <w:pStyle w:val="BodyText"/>
      </w:pPr>
      <w:r>
        <w:rPr>
          <w:b/>
          <w:bCs/>
        </w:rPr>
        <w:t xml:space="preserve">4.5 Net of Certain Costs.</w:t>
      </w:r>
      <w:r>
        <w:t xml:space="preserve"> </w:t>
      </w:r>
      <w:r>
        <w:t xml:space="preserve">This Lease is a base-year lease. Base Rent is exclusive of the Additional Rent payable under Article 5.</w:t>
      </w:r>
    </w:p>
    <w:bookmarkEnd w:id="12"/>
    <w:bookmarkStart w:id="13" w:name="X587fb428b0100fdb7746b9a1accea55a09043d7"/>
    <w:p>
      <w:pPr>
        <w:pStyle w:val="Heading2"/>
      </w:pPr>
      <w:r>
        <w:rPr>
          <w:rStyle w:val="SectionNumber"/>
        </w:rPr>
        <w:t xml:space="preserve">1.5</w:t>
      </w:r>
      <w:r>
        <w:tab/>
      </w:r>
      <w:r>
        <w:t xml:space="preserve">Article 5. Additional Rent, Operating Expenses, and Taxes</w:t>
      </w:r>
    </w:p>
    <w:p>
      <w:pPr>
        <w:pStyle w:val="FirstParagraph"/>
      </w:pPr>
      <w:r>
        <w:rPr>
          <w:b/>
          <w:bCs/>
        </w:rPr>
        <w:t xml:space="preserve">5.1 Additional Rent.</w:t>
      </w:r>
      <w:r>
        <w:t xml:space="preserve"> </w:t>
      </w:r>
      <w:r>
        <w:t xml:space="preserve">Beginning on January 1, 2025, Tenant will pay as additional rent (</w:t>
      </w:r>
      <w:r>
        <w:t xml:space="preserve">“</w:t>
      </w:r>
      <w:r>
        <w:rPr>
          <w:b/>
          <w:bCs/>
        </w:rPr>
        <w:t xml:space="preserve">Additional Rent</w:t>
      </w:r>
      <w:r>
        <w:t xml:space="preserve">”</w:t>
      </w:r>
      <w:r>
        <w:t xml:space="preserve">) Tenant’s Proportionate Share of the amount by which Operating Expenses and Taxes for each calendar year exceed Operating Expenses and Taxes for the Base Year.</w:t>
      </w:r>
    </w:p>
    <w:p>
      <w:pPr>
        <w:pStyle w:val="BodyText"/>
      </w:pPr>
      <w:r>
        <w:rPr>
          <w:b/>
          <w:bCs/>
        </w:rPr>
        <w:t xml:space="preserve">5.2 Operating Expenses.</w:t>
      </w:r>
      <w:r>
        <w:t xml:space="preserve"> </w:t>
      </w:r>
      <w:r>
        <w:t xml:space="preserve">“</w:t>
      </w:r>
      <w:r>
        <w:rPr>
          <w:b/>
          <w:bCs/>
        </w:rPr>
        <w:t xml:space="preserve">Operating Expenses</w:t>
      </w:r>
      <w:r>
        <w:t xml:space="preserve">”</w:t>
      </w:r>
      <w:r>
        <w:t xml:space="preserve"> </w:t>
      </w:r>
      <w:r>
        <w:t xml:space="preserve">means all reasonable costs actually incurred by Landlord in operating, maintaining, repairing, insuring, and managing the Building and the Common Areas, determined on an accrual basis in accordance with sound accounting practice consistently applied, including utilities for the Common Areas, janitorial services, security, landscaping, elevator maintenance, insurance premiums, and a management fee not to exceed three percent (3%) of gross rental revenue.</w:t>
      </w:r>
    </w:p>
    <w:p>
      <w:pPr>
        <w:pStyle w:val="BodyText"/>
      </w:pPr>
      <w:r>
        <w:rPr>
          <w:b/>
          <w:bCs/>
        </w:rPr>
        <w:t xml:space="preserve">5.3 Exclusions from Operating Expenses.</w:t>
      </w:r>
      <w:r>
        <w:t xml:space="preserve"> </w:t>
      </w:r>
      <w:r>
        <w:t xml:space="preserve">Operating Expenses exclude: (a) capital expenditures, except those incurred to comply with a law first enacted after the Lease Date or reasonably projected to reduce Operating Expenses, in each case amortized over the useful life of the improvement at an interest rate not to exceed six percent (6%) per annum; (b) leasing commissions, marketing costs, and tenant improvement costs; (c) debt service, ground rent, and refinancing costs; (d) costs reimbursed by insurance, condemnation awards, warranties, or other tenants; (e) costs of correcting construction defects or violations of law existing on the Lease Date; (f) the cost of remediating Hazardous Materials not introduced by Tenant; (g) legal fees in disputes with other tenants or lenders; and (h) Landlord’s general corporate overhead not allocable to the Building.</w:t>
      </w:r>
    </w:p>
    <w:p>
      <w:pPr>
        <w:pStyle w:val="BodyText"/>
      </w:pPr>
      <w:r>
        <w:rPr>
          <w:b/>
          <w:bCs/>
        </w:rPr>
        <w:t xml:space="preserve">5.4 Controllable Expense Cap.</w:t>
      </w:r>
      <w:r>
        <w:t xml:space="preserve"> </w:t>
      </w:r>
      <w:r>
        <w:t xml:space="preserve">Controllable Operating Expenses may not increase by more than five percent (5%) per calendar year on a cumulative, compounding basis over the Base Year.</w:t>
      </w:r>
      <w:r>
        <w:t xml:space="preserve"> </w:t>
      </w:r>
      <w:r>
        <w:t xml:space="preserve">“</w:t>
      </w:r>
      <w:r>
        <w:rPr>
          <w:b/>
          <w:bCs/>
        </w:rPr>
        <w:t xml:space="preserve">Controllable Operating Expenses</w:t>
      </w:r>
      <w:r>
        <w:t xml:space="preserve">”</w:t>
      </w:r>
      <w:r>
        <w:t xml:space="preserve"> </w:t>
      </w:r>
      <w:r>
        <w:t xml:space="preserve">means all Operating Expenses other than utilities, insurance premiums, Taxes, and costs of snow and ice removal.</w:t>
      </w:r>
    </w:p>
    <w:p>
      <w:pPr>
        <w:pStyle w:val="BodyText"/>
      </w:pPr>
      <w:r>
        <w:rPr>
          <w:b/>
          <w:bCs/>
        </w:rPr>
        <w:t xml:space="preserve">5.5 Taxes.</w:t>
      </w:r>
      <w:r>
        <w:t xml:space="preserve"> </w:t>
      </w:r>
      <w:r>
        <w:t xml:space="preserve">“</w:t>
      </w:r>
      <w:r>
        <w:rPr>
          <w:b/>
          <w:bCs/>
        </w:rPr>
        <w:t xml:space="preserve">Taxes</w:t>
      </w:r>
      <w:r>
        <w:t xml:space="preserve">”</w:t>
      </w:r>
      <w:r>
        <w:t xml:space="preserve"> </w:t>
      </w:r>
      <w:r>
        <w:t xml:space="preserve">means all real property taxes, assessments, and governmental charges levied against the Building and the land on which it is situated, together with the reasonable cost of contesting them. Taxes exclude income, franchise, transfer, inheritance, estate, and capital stock taxes, and any interest or penalty resulting from Landlord’s late payment.</w:t>
      </w:r>
    </w:p>
    <w:p>
      <w:pPr>
        <w:pStyle w:val="BodyText"/>
      </w:pPr>
      <w:r>
        <w:rPr>
          <w:b/>
          <w:bCs/>
        </w:rPr>
        <w:t xml:space="preserve">5.6 Estimates and Reconciliation.</w:t>
      </w:r>
      <w:r>
        <w:t xml:space="preserve"> </w:t>
      </w:r>
      <w:r>
        <w:t xml:space="preserve">Landlord will deliver a written estimate of Additional Rent for each calendar year on or before December 1 of the preceding year, and Tenant will pay one twelfth (1/12) of that estimate monthly with Base Rent. Landlord will deliver a reconciliation statement within one hundred twenty (120) days after the end of each calendar year. Any overpayment will be credited against the next installments of Additional Rent, or refunded within thirty (30) days if the Term has ended. Any underpayment is due within thirty (30) days after delivery of the reconciliation statement.</w:t>
      </w:r>
    </w:p>
    <w:p>
      <w:pPr>
        <w:pStyle w:val="BodyText"/>
      </w:pPr>
      <w:r>
        <w:rPr>
          <w:b/>
          <w:bCs/>
        </w:rPr>
        <w:t xml:space="preserve">5.7 Audit Right.</w:t>
      </w:r>
      <w:r>
        <w:t xml:space="preserve"> </w:t>
      </w:r>
      <w:r>
        <w:t xml:space="preserve">Tenant may, within one hundred eighty (180) days after receiving a reconciliation statement, audit Landlord’s books and records relating to Operating Expenses for the year covered by that statement, on reasonable prior notice and during normal business hours, using an auditor who is not compensated on a contingency basis. If the audit shows an overstatement of Operating Expenses of more than four percent (4%), Landlord will reimburse Tenant’s reasonable audit costs.</w:t>
      </w:r>
    </w:p>
    <w:bookmarkEnd w:id="13"/>
    <w:bookmarkStart w:id="14" w:name="article-6.-security-deposit"/>
    <w:p>
      <w:pPr>
        <w:pStyle w:val="Heading2"/>
      </w:pPr>
      <w:r>
        <w:rPr>
          <w:rStyle w:val="SectionNumber"/>
        </w:rPr>
        <w:t xml:space="preserve">1.6</w:t>
      </w:r>
      <w:r>
        <w:tab/>
      </w:r>
      <w:r>
        <w:t xml:space="preserve">Article 6. Security Deposit</w:t>
      </w:r>
    </w:p>
    <w:p>
      <w:pPr>
        <w:pStyle w:val="FirstParagraph"/>
      </w:pPr>
      <w:r>
        <w:rPr>
          <w:b/>
          <w:bCs/>
        </w:rPr>
        <w:t xml:space="preserve">6.1 Deposit.</w:t>
      </w:r>
      <w:r>
        <w:t xml:space="preserve"> </w:t>
      </w:r>
      <w:r>
        <w:t xml:space="preserve">Tenant has deposited with Landlord the Security Deposit as security for the full and faithful performance of Tenant’s obligations under this Lease. The Security Deposit is not an advance payment of rent or a measure of Landlord’s damages.</w:t>
      </w:r>
    </w:p>
    <w:p>
      <w:pPr>
        <w:pStyle w:val="BodyText"/>
      </w:pPr>
      <w:r>
        <w:rPr>
          <w:b/>
          <w:bCs/>
        </w:rPr>
        <w:t xml:space="preserve">6.2 Application.</w:t>
      </w:r>
      <w:r>
        <w:t xml:space="preserve"> </w:t>
      </w:r>
      <w:r>
        <w:t xml:space="preserve">Landlord may apply all or part of the Security Deposit to cure any Event of Default or to compensate Landlord for any loss or damage caused by an Event of Default. If Landlord applies any part of the Security Deposit, Tenant will restore it to the full amount within ten (10) Business Days after written demand.</w:t>
      </w:r>
    </w:p>
    <w:p>
      <w:pPr>
        <w:pStyle w:val="BodyText"/>
      </w:pPr>
      <w:r>
        <w:rPr>
          <w:b/>
          <w:bCs/>
        </w:rPr>
        <w:t xml:space="preserve">6.3 Reduction.</w:t>
      </w:r>
      <w:r>
        <w:t xml:space="preserve"> </w:t>
      </w:r>
      <w:r>
        <w:t xml:space="preserve">Provided that no Event of Default has occurred during the preceding twelve (12) months, the Security Deposit will be reduced to two hundred fifty-two thousand dollars ($252,000) effective on the first day of Lease Year 4, and Landlord will return the difference to Tenant within thirty (30) days.</w:t>
      </w:r>
    </w:p>
    <w:p>
      <w:pPr>
        <w:pStyle w:val="BodyText"/>
      </w:pPr>
      <w:r>
        <w:rPr>
          <w:b/>
          <w:bCs/>
        </w:rPr>
        <w:t xml:space="preserve">6.4 Return.</w:t>
      </w:r>
      <w:r>
        <w:t xml:space="preserve"> </w:t>
      </w:r>
      <w:r>
        <w:t xml:space="preserve">Landlord will return the unapplied balance of the Security Deposit to Tenant within forty-five (45) days after the later of the expiration of the Term and Tenant’s surrender of the Premises in the condition required by Article 19.</w:t>
      </w:r>
    </w:p>
    <w:bookmarkEnd w:id="14"/>
    <w:bookmarkStart w:id="15" w:name="article-7.-use-and-compliance-with-laws"/>
    <w:p>
      <w:pPr>
        <w:pStyle w:val="Heading2"/>
      </w:pPr>
      <w:r>
        <w:rPr>
          <w:rStyle w:val="SectionNumber"/>
        </w:rPr>
        <w:t xml:space="preserve">1.7</w:t>
      </w:r>
      <w:r>
        <w:tab/>
      </w:r>
      <w:r>
        <w:t xml:space="preserve">Article 7. Use and Compliance with Laws</w:t>
      </w:r>
    </w:p>
    <w:p>
      <w:pPr>
        <w:pStyle w:val="FirstParagraph"/>
      </w:pPr>
      <w:r>
        <w:rPr>
          <w:b/>
          <w:bCs/>
        </w:rPr>
        <w:t xml:space="preserve">7.1 Permitted Use.</w:t>
      </w:r>
      <w:r>
        <w:t xml:space="preserve"> </w:t>
      </w:r>
      <w:r>
        <w:t xml:space="preserve">Tenant will use the Premises only for the Permitted Use and will not use or permit the use of the Premises for any unlawful purpose or in any manner that constitutes a nuisance, causes damage to the Building, or invalidates any insurance policy carried by Landlord.</w:t>
      </w:r>
    </w:p>
    <w:p>
      <w:pPr>
        <w:pStyle w:val="BodyText"/>
      </w:pPr>
      <w:r>
        <w:rPr>
          <w:b/>
          <w:bCs/>
        </w:rPr>
        <w:t xml:space="preserve">7.2 Compliance.</w:t>
      </w:r>
      <w:r>
        <w:t xml:space="preserve"> </w:t>
      </w:r>
      <w:r>
        <w:t xml:space="preserve">Tenant will comply with all laws applicable to Tenant’s particular use of the Premises and with the Rules and Regulations attached as</w:t>
      </w:r>
      <w:r>
        <w:t xml:space="preserve"> </w:t>
      </w:r>
      <w:r>
        <w:rPr>
          <w:b/>
          <w:bCs/>
        </w:rPr>
        <w:t xml:space="preserve">Exhibit B</w:t>
      </w:r>
      <w:r>
        <w:t xml:space="preserve">, as reasonably amended by Landlord from time to time on notice to Tenant. Landlord will enforce the Rules and Regulations in a non-discriminatory manner. Landlord is responsible for compliance of the Common Areas and the base building with applicable laws, the cost of which is includable in Operating Expenses only to the extent permitted by Section 5.3(a).</w:t>
      </w:r>
    </w:p>
    <w:p>
      <w:pPr>
        <w:pStyle w:val="BodyText"/>
      </w:pPr>
      <w:r>
        <w:rPr>
          <w:b/>
          <w:bCs/>
        </w:rPr>
        <w:t xml:space="preserve">7.3 Occupancy Density.</w:t>
      </w:r>
      <w:r>
        <w:t xml:space="preserve"> </w:t>
      </w:r>
      <w:r>
        <w:t xml:space="preserve">Tenant may not occupy the Premises at a density exceeding one person per one hundred twenty-five (125) rentable square feet without Landlord’s prior written consent, which will not be unreasonably withheld if Building systems can support the increased density.</w:t>
      </w:r>
    </w:p>
    <w:bookmarkEnd w:id="15"/>
    <w:bookmarkStart w:id="16" w:name="article-8.-services-and-utilities"/>
    <w:p>
      <w:pPr>
        <w:pStyle w:val="Heading2"/>
      </w:pPr>
      <w:r>
        <w:rPr>
          <w:rStyle w:val="SectionNumber"/>
        </w:rPr>
        <w:t xml:space="preserve">1.8</w:t>
      </w:r>
      <w:r>
        <w:tab/>
      </w:r>
      <w:r>
        <w:t xml:space="preserve">Article 8. Services and Utilities</w:t>
      </w:r>
    </w:p>
    <w:p>
      <w:pPr>
        <w:pStyle w:val="FirstParagraph"/>
      </w:pPr>
      <w:r>
        <w:rPr>
          <w:b/>
          <w:bCs/>
        </w:rPr>
        <w:t xml:space="preserve">8.1 Building Services.</w:t>
      </w:r>
      <w:r>
        <w:t xml:space="preserve"> </w:t>
      </w:r>
      <w:r>
        <w:t xml:space="preserve">Landlord will furnish to the Premises, as part of Operating Expenses: (a) heating, ventilation, and air conditioning during Building Hours sufficient to maintain temperatures customary for comparable office buildings; (b) electricity for lighting and ordinary office equipment; (c) hot and cold water; (d) passenger elevator service at all times and freight elevator service during Building Hours; (e) janitorial service five (5) nights per week, excluding holidays; and (f) card-key access control to the Building and the Premises twenty-four (24) hours per day, seven (7) days per week.</w:t>
      </w:r>
    </w:p>
    <w:p>
      <w:pPr>
        <w:pStyle w:val="BodyText"/>
      </w:pPr>
      <w:r>
        <w:rPr>
          <w:b/>
          <w:bCs/>
        </w:rPr>
        <w:t xml:space="preserve">8.2 Building Hours.</w:t>
      </w:r>
      <w:r>
        <w:t xml:space="preserve"> </w:t>
      </w:r>
      <w:r>
        <w:t xml:space="preserve">“</w:t>
      </w:r>
      <w:r>
        <w:rPr>
          <w:b/>
          <w:bCs/>
        </w:rPr>
        <w:t xml:space="preserve">Building Hours</w:t>
      </w:r>
      <w:r>
        <w:t xml:space="preserve">”</w:t>
      </w:r>
      <w:r>
        <w:t xml:space="preserve"> </w:t>
      </w:r>
      <w:r>
        <w:t xml:space="preserve">means 7:00 a.m. to 7:00 p.m. Monday through Friday and 8:00 a.m. to 1:00 p.m. Saturday, excluding holidays observed by the federal government.</w:t>
      </w:r>
    </w:p>
    <w:p>
      <w:pPr>
        <w:pStyle w:val="BodyText"/>
      </w:pPr>
      <w:r>
        <w:rPr>
          <w:b/>
          <w:bCs/>
        </w:rPr>
        <w:t xml:space="preserve">8.3 After-Hours HVAC.</w:t>
      </w:r>
      <w:r>
        <w:t xml:space="preserve"> </w:t>
      </w:r>
      <w:r>
        <w:t xml:space="preserve">Tenant may request HVAC service outside Building Hours at a rate of eighty-five dollars ($85.00) per hour per zone, subject to a two (2) hour minimum, which rate Landlord may adjust annually to reflect its actual cost.</w:t>
      </w:r>
    </w:p>
    <w:p>
      <w:pPr>
        <w:pStyle w:val="BodyText"/>
      </w:pPr>
      <w:r>
        <w:rPr>
          <w:b/>
          <w:bCs/>
        </w:rPr>
        <w:t xml:space="preserve">8.4 Interruption of Services.</w:t>
      </w:r>
      <w:r>
        <w:t xml:space="preserve"> </w:t>
      </w:r>
      <w:r>
        <w:t xml:space="preserve">Landlord is not liable for any interruption of services caused by events beyond its reasonable control, provided that if an interruption within Landlord’s reasonable control renders more than twenty-five percent (25%) of the Premises untenantable for more than five (5) consecutive Business Days, Base Rent and Additional Rent will abate proportionately from the sixth (6th) Business Day until the affected portion of the Premises is again tenantable.</w:t>
      </w:r>
    </w:p>
    <w:p>
      <w:pPr>
        <w:pStyle w:val="BodyText"/>
      </w:pPr>
      <w:r>
        <w:rPr>
          <w:b/>
          <w:bCs/>
        </w:rPr>
        <w:t xml:space="preserve">8.5 Supplemental Equipment.</w:t>
      </w:r>
      <w:r>
        <w:t xml:space="preserve"> </w:t>
      </w:r>
      <w:r>
        <w:t xml:space="preserve">Tenant may install supplemental cooling equipment serving its data closets, subject to Landlord’s prior written approval of plans, which will not be unreasonably withheld. Tenant will pay the cost of electricity consumed by that equipment as measured by a submeter installed at Tenant’s expense.</w:t>
      </w:r>
    </w:p>
    <w:bookmarkEnd w:id="16"/>
    <w:bookmarkStart w:id="17" w:name="article-9.-maintenance-and-repairs"/>
    <w:p>
      <w:pPr>
        <w:pStyle w:val="Heading2"/>
      </w:pPr>
      <w:r>
        <w:rPr>
          <w:rStyle w:val="SectionNumber"/>
        </w:rPr>
        <w:t xml:space="preserve">1.9</w:t>
      </w:r>
      <w:r>
        <w:tab/>
      </w:r>
      <w:r>
        <w:t xml:space="preserve">Article 9. Maintenance and Repairs</w:t>
      </w:r>
    </w:p>
    <w:p>
      <w:pPr>
        <w:pStyle w:val="FirstParagraph"/>
      </w:pPr>
      <w:r>
        <w:rPr>
          <w:b/>
          <w:bCs/>
        </w:rPr>
        <w:t xml:space="preserve">9.1 Landlord’s Obligations.</w:t>
      </w:r>
      <w:r>
        <w:t xml:space="preserve"> </w:t>
      </w:r>
      <w:r>
        <w:t xml:space="preserve">Landlord will maintain in good order, condition, and repair the structural elements of the Building, the roof, the exterior walls and windows, the Common Areas, the garage, and the base building mechanical, electrical, plumbing, life safety, and elevator systems.</w:t>
      </w:r>
    </w:p>
    <w:p>
      <w:pPr>
        <w:pStyle w:val="BodyText"/>
      </w:pPr>
      <w:r>
        <w:rPr>
          <w:b/>
          <w:bCs/>
        </w:rPr>
        <w:t xml:space="preserve">9.2 Tenant’s Obligations.</w:t>
      </w:r>
      <w:r>
        <w:t xml:space="preserve"> </w:t>
      </w:r>
      <w:r>
        <w:t xml:space="preserve">Tenant will maintain the interior non-structural portions of the Premises in good order and repair, including interior finishes, Tenant’s supplemental equipment installed under Section 8.5, and any specialty installations made by or for Tenant, reasonable wear and tear and damage by casualty excepted.</w:t>
      </w:r>
    </w:p>
    <w:p>
      <w:pPr>
        <w:pStyle w:val="BodyText"/>
      </w:pPr>
      <w:r>
        <w:rPr>
          <w:b/>
          <w:bCs/>
        </w:rPr>
        <w:t xml:space="preserve">9.3 Landlord’s Right to Perform.</w:t>
      </w:r>
      <w:r>
        <w:t xml:space="preserve"> </w:t>
      </w:r>
      <w:r>
        <w:t xml:space="preserve">If Tenant fails to perform a maintenance obligation within fifteen (15) days after written notice, Landlord may perform it and Tenant will reimburse Landlord’s reasonable cost, plus five percent (5%) for administration, within thirty (30) days after invoice.</w:t>
      </w:r>
    </w:p>
    <w:bookmarkEnd w:id="17"/>
    <w:bookmarkStart w:id="18" w:name="X1df51d5ba77cf251a7d7c53c434773fdfa1e916"/>
    <w:p>
      <w:pPr>
        <w:pStyle w:val="Heading2"/>
      </w:pPr>
      <w:r>
        <w:rPr>
          <w:rStyle w:val="SectionNumber"/>
        </w:rPr>
        <w:t xml:space="preserve">1.10</w:t>
      </w:r>
      <w:r>
        <w:tab/>
      </w:r>
      <w:r>
        <w:t xml:space="preserve">Article 10. Alterations and Tenant Improvements</w:t>
      </w:r>
    </w:p>
    <w:p>
      <w:pPr>
        <w:pStyle w:val="FirstParagraph"/>
      </w:pPr>
      <w:r>
        <w:rPr>
          <w:b/>
          <w:bCs/>
        </w:rPr>
        <w:t xml:space="preserve">10.1 Landlord’s Consent.</w:t>
      </w:r>
      <w:r>
        <w:t xml:space="preserve"> </w:t>
      </w:r>
      <w:r>
        <w:t xml:space="preserve">Tenant will not make any alteration, addition, or improvement to the Premises without Landlord’s prior written consent, which will not be unreasonably withheld, conditioned, or delayed for any alteration that is non-structural, does not affect base building systems, and is not visible from outside the Premises. Landlord’s consent is not required for cosmetic alterations costing less than seventy-five thousand dollars ($75,000) in any twelve (12) month period, provided Tenant gives Landlord prior written notice describing the work.</w:t>
      </w:r>
    </w:p>
    <w:p>
      <w:pPr>
        <w:pStyle w:val="BodyText"/>
      </w:pPr>
      <w:r>
        <w:rPr>
          <w:b/>
          <w:bCs/>
        </w:rPr>
        <w:t xml:space="preserve">10.2 Performance.</w:t>
      </w:r>
      <w:r>
        <w:t xml:space="preserve"> </w:t>
      </w:r>
      <w:r>
        <w:t xml:space="preserve">All alterations will be performed by contractors reasonably approved by Landlord, in a good and workmanlike manner, in compliance with applicable law, and with insurance reasonably satisfactory to Landlord.</w:t>
      </w:r>
    </w:p>
    <w:p>
      <w:pPr>
        <w:pStyle w:val="BodyText"/>
      </w:pPr>
      <w:r>
        <w:rPr>
          <w:b/>
          <w:bCs/>
        </w:rPr>
        <w:t xml:space="preserve">10.3 Tenant Improvement Allowance.</w:t>
      </w:r>
      <w:r>
        <w:t xml:space="preserve"> </w:t>
      </w:r>
      <w:r>
        <w:t xml:space="preserve">Landlord will provide the Tenant Improvement Allowance in accordance with the Work Letter attached as</w:t>
      </w:r>
      <w:r>
        <w:t xml:space="preserve"> </w:t>
      </w:r>
      <w:r>
        <w:rPr>
          <w:b/>
          <w:bCs/>
        </w:rPr>
        <w:t xml:space="preserve">Exhibit C</w:t>
      </w:r>
      <w:r>
        <w:t xml:space="preserve">. Any portion of the Tenant Improvement Allowance not requisitioned by the date that is eighteen (18) months after the Commencement Date is forfeited.</w:t>
      </w:r>
    </w:p>
    <w:p>
      <w:pPr>
        <w:pStyle w:val="BodyText"/>
      </w:pPr>
      <w:r>
        <w:rPr>
          <w:b/>
          <w:bCs/>
        </w:rPr>
        <w:t xml:space="preserve">10.4 Removal.</w:t>
      </w:r>
      <w:r>
        <w:t xml:space="preserve"> </w:t>
      </w:r>
      <w:r>
        <w:t xml:space="preserve">At the time Landlord grants consent to an alteration, Landlord will notify Tenant whether Tenant will be required to remove that alteration at the end of the Term. If Landlord does not so notify Tenant at that time, Tenant has no removal obligation for that alteration. Tenant will in all events remove its personal property, trade fixtures, cabling installed by or for Tenant, and supplemental equipment, and will repair any damage caused by that removal.</w:t>
      </w:r>
    </w:p>
    <w:bookmarkEnd w:id="18"/>
    <w:bookmarkStart w:id="19" w:name="article-11.-liens"/>
    <w:p>
      <w:pPr>
        <w:pStyle w:val="Heading2"/>
      </w:pPr>
      <w:r>
        <w:rPr>
          <w:rStyle w:val="SectionNumber"/>
        </w:rPr>
        <w:t xml:space="preserve">1.11</w:t>
      </w:r>
      <w:r>
        <w:tab/>
      </w:r>
      <w:r>
        <w:t xml:space="preserve">Article 11. Liens</w:t>
      </w:r>
    </w:p>
    <w:p>
      <w:pPr>
        <w:pStyle w:val="FirstParagraph"/>
      </w:pPr>
      <w:r>
        <w:t xml:space="preserve">Tenant will keep the Premises and the Building free of any mechanic’s, materialman’s, or other lien arising from work performed for Tenant. If any such lien is filed, Tenant will discharge it, or bond over it in a manner that removes it as an encumbrance on Landlord’s title, within twenty (20) days after Tenant receives notice of the filing.</w:t>
      </w:r>
    </w:p>
    <w:bookmarkEnd w:id="19"/>
    <w:bookmarkStart w:id="20" w:name="Xa250bf8b071e19439b2c0467721ca845cfbb066"/>
    <w:p>
      <w:pPr>
        <w:pStyle w:val="Heading2"/>
      </w:pPr>
      <w:r>
        <w:rPr>
          <w:rStyle w:val="SectionNumber"/>
        </w:rPr>
        <w:t xml:space="preserve">1.12</w:t>
      </w:r>
      <w:r>
        <w:tab/>
      </w:r>
      <w:r>
        <w:t xml:space="preserve">Article 12. Insurance and Waiver of Subrogation</w:t>
      </w:r>
    </w:p>
    <w:p>
      <w:pPr>
        <w:pStyle w:val="FirstParagraph"/>
      </w:pPr>
      <w:r>
        <w:rPr>
          <w:b/>
          <w:bCs/>
        </w:rPr>
        <w:t xml:space="preserve">12.1 Tenant’s Insurance.</w:t>
      </w:r>
      <w:r>
        <w:t xml:space="preserve"> </w:t>
      </w:r>
      <w:r>
        <w:t xml:space="preserve">Throughout the Term, Tenant will maintain, at its expense: (a) commercial general liability insurance on an occurrence basis with limits of not less than two million dollars ($2,000,000) per occurrence and four million dollars ($4,000,000) in the aggregate; (b) property insurance on a special-form basis covering Tenant’s personal property, trade fixtures, and alterations at full replacement cost; (c) business interruption insurance covering not less than twelve (12) months of Base Rent and Additional Rent; (d) workers’ compensation at statutory limits and employer’s liability of one million dollars ($1,000,000); and (e) umbrella liability of not less than five million dollars ($5,000,000).</w:t>
      </w:r>
    </w:p>
    <w:p>
      <w:pPr>
        <w:pStyle w:val="BodyText"/>
      </w:pPr>
      <w:r>
        <w:rPr>
          <w:b/>
          <w:bCs/>
        </w:rPr>
        <w:t xml:space="preserve">12.2 Policy Requirements.</w:t>
      </w:r>
      <w:r>
        <w:t xml:space="preserve"> </w:t>
      </w:r>
      <w:r>
        <w:t xml:space="preserve">Tenant’s liability policies will name Landlord, Landlord’s property manager, and any mortgagee identified in writing by Landlord as additional insureds, will be primary and non-contributory with respect to any policy carried by Landlord, and will be issued by insurers rated A- VIII or better by A.M. Best and authorized to do business in Delaware. Tenant will deliver certificates of insurance on or before the Commencement Date and on each policy renewal.</w:t>
      </w:r>
    </w:p>
    <w:p>
      <w:pPr>
        <w:pStyle w:val="BodyText"/>
      </w:pPr>
      <w:r>
        <w:rPr>
          <w:b/>
          <w:bCs/>
        </w:rPr>
        <w:t xml:space="preserve">12.3 Landlord’s Insurance.</w:t>
      </w:r>
      <w:r>
        <w:t xml:space="preserve"> </w:t>
      </w:r>
      <w:r>
        <w:t xml:space="preserve">Landlord will maintain special-form property insurance on the Building at full replacement cost, excluding tenant improvements insured by Tenant, and commercial general liability insurance with limits customary for comparable buildings. The cost of Landlord’s insurance is includable in Operating Expenses.</w:t>
      </w:r>
    </w:p>
    <w:p>
      <w:pPr>
        <w:pStyle w:val="BodyText"/>
      </w:pPr>
      <w:r>
        <w:rPr>
          <w:b/>
          <w:bCs/>
        </w:rPr>
        <w:t xml:space="preserve">12.4 Waiver of Subrogation.</w:t>
      </w:r>
      <w:r>
        <w:t xml:space="preserve"> </w:t>
      </w:r>
      <w:r>
        <w:t xml:space="preserve">Notwithstanding any other provision of this Lease, Landlord and Tenant each waive all rights of recovery against the other, and against the officers, employees, agents, and representatives of the other, for loss of or damage to property to the extent that loss or damage is insured, or required by this Lease to be insured, under a property insurance policy. Each party will cause its property insurance policies to contain a waiver of subrogation endorsement consistent with this Section 12.4.</w:t>
      </w:r>
    </w:p>
    <w:bookmarkEnd w:id="20"/>
    <w:bookmarkStart w:id="21" w:name="article-13.-indemnification"/>
    <w:p>
      <w:pPr>
        <w:pStyle w:val="Heading2"/>
      </w:pPr>
      <w:r>
        <w:rPr>
          <w:rStyle w:val="SectionNumber"/>
        </w:rPr>
        <w:t xml:space="preserve">1.13</w:t>
      </w:r>
      <w:r>
        <w:tab/>
      </w:r>
      <w:r>
        <w:t xml:space="preserve">Article 13. Indemnification</w:t>
      </w:r>
    </w:p>
    <w:p>
      <w:pPr>
        <w:pStyle w:val="FirstParagraph"/>
      </w:pPr>
      <w:r>
        <w:rPr>
          <w:b/>
          <w:bCs/>
        </w:rPr>
        <w:t xml:space="preserve">13.1 Tenant’s Indemnity.</w:t>
      </w:r>
      <w:r>
        <w:t xml:space="preserve"> </w:t>
      </w:r>
      <w:r>
        <w:t xml:space="preserve">Tenant will indemnify, defend, and hold harmless Landlord, Landlord’s property manager, and their respective members, managers, officers, employees, and agents (collectively, the</w:t>
      </w:r>
      <w:r>
        <w:t xml:space="preserve"> </w:t>
      </w:r>
      <w:r>
        <w:t xml:space="preserve">“</w:t>
      </w:r>
      <w:r>
        <w:rPr>
          <w:b/>
          <w:bCs/>
        </w:rPr>
        <w:t xml:space="preserve">Landlord Parties</w:t>
      </w:r>
      <w:r>
        <w:t xml:space="preserve">”</w:t>
      </w:r>
      <w:r>
        <w:t xml:space="preserve">) from and against any and all claims, demands, actions, liabilities, losses, damages, judgments, fines, penalties, costs, and expenses, including reasonable attorneys’ fees and court costs, arising out of or in connection with (a) any injury to or death of any person, or damage to or loss of any property, occurring in or about the Premises during the Term, (b) any act or omission of Tenant or any of its employees, agents, contractors, licensees, or invitees in or about the Building, (c) Tenant’s breach of this Lease, or (d) any work performed by or for Tenant in the Premises, except in each case to the extent the claim arises from the negligence or willful misconduct of any of the Landlord Parties.</w:t>
      </w:r>
    </w:p>
    <w:p>
      <w:pPr>
        <w:pStyle w:val="BodyText"/>
      </w:pPr>
      <w:r>
        <w:rPr>
          <w:b/>
          <w:bCs/>
        </w:rPr>
        <w:t xml:space="preserve">13.2 Landlord’s Indemnity.</w:t>
      </w:r>
      <w:r>
        <w:t xml:space="preserve"> </w:t>
      </w:r>
      <w:r>
        <w:t xml:space="preserve">Landlord will indemnify, defend, and hold harmless Tenant and its officers, directors, employees, and agents from and against any and all claims, demands, actions, liabilities, losses, damages, judgments, fines, penalties, costs, and expenses, including reasonable attorneys’ fees and court costs, arising out of or in connection with (a) any injury to or death of any person, or damage to or loss of any property, occurring in the Common Areas, and (b) the negligence or willful misconduct of Landlord or any of the Landlord Parties, except in each case to the extent the claim arises from the negligence or willful misconduct of Tenant or any of its employees, agents, contractors, licensees, or invitees.</w:t>
      </w:r>
    </w:p>
    <w:p>
      <w:pPr>
        <w:pStyle w:val="BodyText"/>
      </w:pPr>
      <w:r>
        <w:rPr>
          <w:b/>
          <w:bCs/>
        </w:rPr>
        <w:t xml:space="preserve">13.3 Procedure.</w:t>
      </w:r>
      <w:r>
        <w:t xml:space="preserve"> </w:t>
      </w:r>
      <w:r>
        <w:t xml:space="preserve">The indemnified party will give the indemnifying party prompt written notice of any claim for which indemnity is sought, and the indemnifying party will have the right to control the defense with counsel reasonably acceptable to the indemnified party. The indemnifying party may not settle any claim in a manner that imposes any non-monetary obligation or admission of liability on the indemnified party without that party’s prior written consent, which will not be unreasonably withheld. The indemnified party may participate in the defense at its own expense.</w:t>
      </w:r>
    </w:p>
    <w:p>
      <w:pPr>
        <w:pStyle w:val="BodyText"/>
      </w:pPr>
      <w:r>
        <w:rPr>
          <w:b/>
          <w:bCs/>
        </w:rPr>
        <w:t xml:space="preserve">13.4 Insurance and Survival.</w:t>
      </w:r>
      <w:r>
        <w:t xml:space="preserve"> </w:t>
      </w:r>
      <w:r>
        <w:t xml:space="preserve">The indemnities in this Article 13 are independent of, and are not limited by, the insurance required by Article 12, but are subject to the waiver of subrogation in Section 12.4. This Article 13 survives the expiration or earlier termination of this Lease.</w:t>
      </w:r>
    </w:p>
    <w:p>
      <w:pPr>
        <w:pStyle w:val="BodyText"/>
      </w:pPr>
      <w:r>
        <w:rPr>
          <w:b/>
          <w:bCs/>
        </w:rPr>
        <w:t xml:space="preserve">13.5 Limitation on Consequential Damages.</w:t>
      </w:r>
      <w:r>
        <w:t xml:space="preserve"> </w:t>
      </w:r>
      <w:r>
        <w:t xml:space="preserve">Neither party is liable to the other for consequential, special, or punitive damages arising out of this Lease, except that this Section 13.5 does not limit (a) Tenant’s liability under Article 19 for holding over, or (b) either party’s indemnification obligations under this Article 13 for amounts payable to unaffiliated third parties.</w:t>
      </w:r>
    </w:p>
    <w:bookmarkEnd w:id="21"/>
    <w:bookmarkStart w:id="22" w:name="article-14.-casualty"/>
    <w:p>
      <w:pPr>
        <w:pStyle w:val="Heading2"/>
      </w:pPr>
      <w:r>
        <w:rPr>
          <w:rStyle w:val="SectionNumber"/>
        </w:rPr>
        <w:t xml:space="preserve">1.14</w:t>
      </w:r>
      <w:r>
        <w:tab/>
      </w:r>
      <w:r>
        <w:t xml:space="preserve">Article 14. Casualty</w:t>
      </w:r>
    </w:p>
    <w:p>
      <w:pPr>
        <w:pStyle w:val="FirstParagraph"/>
      </w:pPr>
      <w:r>
        <w:rPr>
          <w:b/>
          <w:bCs/>
        </w:rPr>
        <w:t xml:space="preserve">14.1 Repair.</w:t>
      </w:r>
      <w:r>
        <w:t xml:space="preserve"> </w:t>
      </w:r>
      <w:r>
        <w:t xml:space="preserve">If the Premises or the Common Areas necessary for access to the Premises are damaged by fire or other casualty, Landlord will, within forty-five (45) days after the casualty, deliver to Tenant an estimate prepared by a licensed architect or contractor of the time required to complete the repair. Landlord will repair the damage with reasonable diligence, excluding Tenant’s personal property, trade fixtures, and alterations.</w:t>
      </w:r>
    </w:p>
    <w:p>
      <w:pPr>
        <w:pStyle w:val="BodyText"/>
      </w:pPr>
      <w:r>
        <w:rPr>
          <w:b/>
          <w:bCs/>
        </w:rPr>
        <w:t xml:space="preserve">14.2 Termination Rights.</w:t>
      </w:r>
      <w:r>
        <w:t xml:space="preserve"> </w:t>
      </w:r>
      <w:r>
        <w:t xml:space="preserve">If the estimate delivered under Section 14.1 states that the repair will take more than two hundred seventy (270) days from the date of the casualty, or if the casualty occurs during the last twelve (12) months of the Term and renders more than twenty-five percent (25%) of the Premises untenantable, either party may terminate this Lease by written notice given within thirty (30) days after delivery of the estimate. If Landlord has not substantially completed the repair within sixty (60) days after the date stated in the estimate, Tenant may terminate this Lease by written notice given before substantial completion.</w:t>
      </w:r>
    </w:p>
    <w:p>
      <w:pPr>
        <w:pStyle w:val="BodyText"/>
      </w:pPr>
      <w:r>
        <w:rPr>
          <w:b/>
          <w:bCs/>
        </w:rPr>
        <w:t xml:space="preserve">14.3 Rent Abatement.</w:t>
      </w:r>
      <w:r>
        <w:t xml:space="preserve"> </w:t>
      </w:r>
      <w:r>
        <w:t xml:space="preserve">Base Rent and Additional Rent abate in proportion to the portion of the Premises rendered untenantable from the date of the casualty until the earlier of the date the Premises are again tenantable and the date this Lease terminates under Section 14.2.</w:t>
      </w:r>
    </w:p>
    <w:bookmarkEnd w:id="22"/>
    <w:bookmarkStart w:id="23" w:name="article-15.-condemnation"/>
    <w:p>
      <w:pPr>
        <w:pStyle w:val="Heading2"/>
      </w:pPr>
      <w:r>
        <w:rPr>
          <w:rStyle w:val="SectionNumber"/>
        </w:rPr>
        <w:t xml:space="preserve">1.15</w:t>
      </w:r>
      <w:r>
        <w:tab/>
      </w:r>
      <w:r>
        <w:t xml:space="preserve">Article 15. Condemnation</w:t>
      </w:r>
    </w:p>
    <w:p>
      <w:pPr>
        <w:pStyle w:val="FirstParagraph"/>
      </w:pPr>
      <w:r>
        <w:t xml:space="preserve">If all of the Premises is taken by eminent domain, this Lease terminates on the date title vests in the condemning authority. If more than twenty percent (20%) of the Premises, or parking or access necessary for Tenant’s use, is taken, either party may terminate this Lease by written notice given within thirty (30) days after the taking. If this Lease is not terminated, Base Rent and Tenant’s Proportionate Share will be equitably reduced. Landlord is entitled to the entire condemnation award, except that Tenant may pursue a separate claim against the condemning authority for its moving costs, trade fixtures, and business interruption, so long as that claim does not reduce Landlord’s award.</w:t>
      </w:r>
    </w:p>
    <w:bookmarkEnd w:id="23"/>
    <w:bookmarkStart w:id="24" w:name="article-16.-assignment-and-subletting"/>
    <w:p>
      <w:pPr>
        <w:pStyle w:val="Heading2"/>
      </w:pPr>
      <w:r>
        <w:rPr>
          <w:rStyle w:val="SectionNumber"/>
        </w:rPr>
        <w:t xml:space="preserve">1.16</w:t>
      </w:r>
      <w:r>
        <w:tab/>
      </w:r>
      <w:r>
        <w:t xml:space="preserve">Article 16. Assignment and Subletting</w:t>
      </w:r>
    </w:p>
    <w:p>
      <w:pPr>
        <w:pStyle w:val="FirstParagraph"/>
      </w:pPr>
      <w:r>
        <w:rPr>
          <w:b/>
          <w:bCs/>
        </w:rPr>
        <w:t xml:space="preserve">16.1 Consent Required.</w:t>
      </w:r>
      <w:r>
        <w:t xml:space="preserve"> </w:t>
      </w:r>
      <w:r>
        <w:t xml:space="preserve">Tenant will not assign this Lease or sublet all or any part of the Premises without Landlord’s prior written consent, which will not be unreasonably withheld, conditioned, or delayed. Landlord’s consent is deemed given if Landlord fails to respond within fifteen (15) Business Days after receiving Tenant’s written request together with the information reasonably required to evaluate it.</w:t>
      </w:r>
    </w:p>
    <w:p>
      <w:pPr>
        <w:pStyle w:val="BodyText"/>
      </w:pPr>
      <w:r>
        <w:rPr>
          <w:b/>
          <w:bCs/>
        </w:rPr>
        <w:t xml:space="preserve">16.2 Permitted Transfers.</w:t>
      </w:r>
      <w:r>
        <w:t xml:space="preserve"> </w:t>
      </w:r>
      <w:r>
        <w:t xml:space="preserve">Notwithstanding Section 16.1, Tenant may, on ten (10) Business Days’ prior written notice to Landlord and without Landlord’s consent, assign this Lease or sublet all or part of the Premises to (a) an Affiliate of Tenant, (b) a successor by merger, consolidation, or reorganization, or (c) a purchaser of all or substantially all of Tenant’s assets or equity, provided in each case that the transferee has a tangible net worth, determined in accordance with generally accepted accounting principles, of not less than the greater of Tenant’s tangible net worth as of the Lease Date and Tenant’s tangible net worth immediately before the transfer.</w:t>
      </w:r>
    </w:p>
    <w:p>
      <w:pPr>
        <w:pStyle w:val="BodyText"/>
      </w:pPr>
      <w:r>
        <w:rPr>
          <w:b/>
          <w:bCs/>
        </w:rPr>
        <w:t xml:space="preserve">16.3 Continuing Liability.</w:t>
      </w:r>
      <w:r>
        <w:t xml:space="preserve"> </w:t>
      </w:r>
      <w:r>
        <w:t xml:space="preserve">No assignment or sublease releases Tenant from liability under this Lease unless Landlord expressly agrees in writing.</w:t>
      </w:r>
    </w:p>
    <w:p>
      <w:pPr>
        <w:pStyle w:val="BodyText"/>
      </w:pPr>
      <w:r>
        <w:rPr>
          <w:b/>
          <w:bCs/>
        </w:rPr>
        <w:t xml:space="preserve">16.4 Excess Consideration.</w:t>
      </w:r>
      <w:r>
        <w:t xml:space="preserve"> </w:t>
      </w:r>
      <w:r>
        <w:t xml:space="preserve">If Tenant assigns this Lease or sublets any portion of the Premises other than under Section 16.2, Tenant will pay Landlord fifty percent (50%) of the consideration Tenant receives in excess of the Base Rent and Additional Rent allocable to the transferred space, after deducting Tenant’s reasonable transaction costs, including brokerage commissions, legal fees, improvement allowances, and free rent.</w:t>
      </w:r>
    </w:p>
    <w:bookmarkEnd w:id="24"/>
    <w:bookmarkStart w:id="25" w:name="article-17.-default-and-remedies"/>
    <w:p>
      <w:pPr>
        <w:pStyle w:val="Heading2"/>
      </w:pPr>
      <w:r>
        <w:rPr>
          <w:rStyle w:val="SectionNumber"/>
        </w:rPr>
        <w:t xml:space="preserve">1.17</w:t>
      </w:r>
      <w:r>
        <w:tab/>
      </w:r>
      <w:r>
        <w:t xml:space="preserve">Article 17. Default and Remedies</w:t>
      </w:r>
    </w:p>
    <w:p>
      <w:pPr>
        <w:pStyle w:val="FirstParagraph"/>
      </w:pPr>
      <w:r>
        <w:rPr>
          <w:b/>
          <w:bCs/>
        </w:rPr>
        <w:t xml:space="preserve">17.1 Events of Default.</w:t>
      </w:r>
      <w:r>
        <w:t xml:space="preserve"> </w:t>
      </w:r>
      <w:r>
        <w:t xml:space="preserve">Each of the following is an</w:t>
      </w:r>
      <w:r>
        <w:t xml:space="preserve"> </w:t>
      </w:r>
      <w:r>
        <w:t xml:space="preserve">“</w:t>
      </w:r>
      <w:r>
        <w:rPr>
          <w:b/>
          <w:bCs/>
        </w:rPr>
        <w:t xml:space="preserve">Event of Default</w:t>
      </w:r>
      <w:r>
        <w:t xml:space="preserve">”</w:t>
      </w:r>
      <w:r>
        <w:t xml:space="preserve">: (a) Tenant fails to pay Base Rent or Additional Rent when due and that failure continues for five (5) Business Days after written notice from Landlord, provided that Landlord is not required to give that notice more than twice in any twelve (12) month period; (b) Tenant fails to perform any other obligation under this Lease and that failure continues for thirty (30) days after written notice, or, if the failure cannot reasonably be cured within thirty (30) days, Tenant fails to begin the cure within that period and diligently pursue it to completion within ninety (90) days; (c) Tenant fails to maintain the insurance required by Article 12 and does not cure within ten (10) Business Days after notice; (d) Tenant abandons the Premises while in monetary default; or (e) Tenant makes a general assignment for the benefit of creditors or has a bankruptcy petition filed against it that is not dismissed within ninety (90) days.</w:t>
      </w:r>
    </w:p>
    <w:p>
      <w:pPr>
        <w:pStyle w:val="BodyText"/>
      </w:pPr>
      <w:r>
        <w:rPr>
          <w:b/>
          <w:bCs/>
        </w:rPr>
        <w:t xml:space="preserve">17.2 Landlord’s Remedies.</w:t>
      </w:r>
      <w:r>
        <w:t xml:space="preserve"> </w:t>
      </w:r>
      <w:r>
        <w:t xml:space="preserve">On an Event of Default, Landlord may, in addition to any other remedy at law or in equity: (a) terminate this Lease and recover possession, in which case Tenant will pay the difference between the rent reserved for the balance of the Term, discounted to present value at the then-current prime rate, and the fair rental value of the Premises for that period, similarly discounted; (b) terminate Tenant’s right of possession without terminating this Lease and relet the Premises, applying the proceeds against Tenant’s obligations; or (c) cure the default and recover the cost from Tenant.</w:t>
      </w:r>
    </w:p>
    <w:p>
      <w:pPr>
        <w:pStyle w:val="BodyText"/>
      </w:pPr>
      <w:r>
        <w:rPr>
          <w:b/>
          <w:bCs/>
        </w:rPr>
        <w:t xml:space="preserve">17.3 Mitigation.</w:t>
      </w:r>
      <w:r>
        <w:t xml:space="preserve"> </w:t>
      </w:r>
      <w:r>
        <w:t xml:space="preserve">Landlord will use commercially reasonable efforts to relet the Premises and mitigate its damages, but is not required to prefer the Premises over other available space in the Building or to accept a tenant or use that a prudent landlord would reject.</w:t>
      </w:r>
    </w:p>
    <w:p>
      <w:pPr>
        <w:pStyle w:val="BodyText"/>
      </w:pPr>
      <w:r>
        <w:rPr>
          <w:b/>
          <w:bCs/>
        </w:rPr>
        <w:t xml:space="preserve">17.4 Landlord’s Default.</w:t>
      </w:r>
      <w:r>
        <w:t xml:space="preserve"> </w:t>
      </w:r>
      <w:r>
        <w:t xml:space="preserve">If Landlord fails to perform an obligation under this Lease and that failure continues for thirty (30) days after written notice from Tenant, or, if the failure cannot reasonably be cured within thirty (30) days, Landlord fails to begin the cure within that period and pursue it diligently, Tenant may, after a further ten (10) Business Days’ notice, perform the obligation and recover the reasonable cost from Landlord, and if Landlord does not reimburse Tenant within thirty (30) days after invoice, Tenant may offset the amount against the next installments of Base Rent, provided that the amount offset in any month may not exceed twenty percent (20%) of that month’s Base Rent.</w:t>
      </w:r>
    </w:p>
    <w:bookmarkEnd w:id="25"/>
    <w:bookmarkStart w:id="26" w:name="Xe750fb62cdf2ae7857a44be28e5a7bb61c1967c"/>
    <w:p>
      <w:pPr>
        <w:pStyle w:val="Heading2"/>
      </w:pPr>
      <w:r>
        <w:rPr>
          <w:rStyle w:val="SectionNumber"/>
        </w:rPr>
        <w:t xml:space="preserve">1.18</w:t>
      </w:r>
      <w:r>
        <w:tab/>
      </w:r>
      <w:r>
        <w:t xml:space="preserve">Article 18. Subordination, Estoppel, and Non-Disturbance</w:t>
      </w:r>
    </w:p>
    <w:p>
      <w:pPr>
        <w:pStyle w:val="FirstParagraph"/>
      </w:pPr>
      <w:r>
        <w:rPr>
          <w:b/>
          <w:bCs/>
        </w:rPr>
        <w:t xml:space="preserve">18.1 Subordination.</w:t>
      </w:r>
      <w:r>
        <w:t xml:space="preserve"> </w:t>
      </w:r>
      <w:r>
        <w:t xml:space="preserve">This Lease is subordinate to any mortgage or ground lease now or later encumbering the Building, provided that as a condition of that subordination the holder delivers to Tenant a commercially reasonable subordination, non-disturbance, and attornment agreement confirming that Tenant’s possession will not be disturbed so long as no Event of Default is continuing.</w:t>
      </w:r>
    </w:p>
    <w:p>
      <w:pPr>
        <w:pStyle w:val="BodyText"/>
      </w:pPr>
      <w:r>
        <w:rPr>
          <w:b/>
          <w:bCs/>
        </w:rPr>
        <w:t xml:space="preserve">18.2 Estoppel Certificates.</w:t>
      </w:r>
      <w:r>
        <w:t xml:space="preserve"> </w:t>
      </w:r>
      <w:r>
        <w:t xml:space="preserve">Within fifteen (15) Business Days after written request, each party will execute and deliver to the other an estoppel certificate stating the Commencement Date, the Expiration Date, the Base Rent then payable, whether this Lease is in full force and effect, and whether, to that party’s knowledge, any default exists.</w:t>
      </w:r>
    </w:p>
    <w:bookmarkEnd w:id="26"/>
    <w:bookmarkStart w:id="27" w:name="article-19.-surrender-and-holding-over"/>
    <w:p>
      <w:pPr>
        <w:pStyle w:val="Heading2"/>
      </w:pPr>
      <w:r>
        <w:rPr>
          <w:rStyle w:val="SectionNumber"/>
        </w:rPr>
        <w:t xml:space="preserve">1.19</w:t>
      </w:r>
      <w:r>
        <w:tab/>
      </w:r>
      <w:r>
        <w:t xml:space="preserve">Article 19. Surrender and Holding Over</w:t>
      </w:r>
    </w:p>
    <w:p>
      <w:pPr>
        <w:pStyle w:val="FirstParagraph"/>
      </w:pPr>
      <w:r>
        <w:rPr>
          <w:b/>
          <w:bCs/>
        </w:rPr>
        <w:t xml:space="preserve">19.1 Surrender.</w:t>
      </w:r>
      <w:r>
        <w:t xml:space="preserve"> </w:t>
      </w:r>
      <w:r>
        <w:t xml:space="preserve">On the expiration or earlier termination of this Lease, Tenant will surrender the Premises broom clean and in the condition required by Section 10.4, reasonable wear and tear, casualty, and condemnation excepted, and will deliver all keys and access credentials to Landlord.</w:t>
      </w:r>
    </w:p>
    <w:p>
      <w:pPr>
        <w:pStyle w:val="BodyText"/>
      </w:pPr>
      <w:r>
        <w:rPr>
          <w:b/>
          <w:bCs/>
        </w:rPr>
        <w:t xml:space="preserve">19.2 Holding Over.</w:t>
      </w:r>
      <w:r>
        <w:t xml:space="preserve"> </w:t>
      </w:r>
      <w:r>
        <w:t xml:space="preserve">If Tenant remains in possession after the expiration or earlier termination of this Lease without Landlord’s written consent, that occupancy is a tenancy at sufferance, and Tenant will pay one hundred fifty percent (150%) of the Base Rent payable during the last month of the Term for the first sixty (60) days of holdover and two hundred percent (200%) thereafter, together with all Additional Rent. If the holdover continues for more than sixty (60) days, Tenant is also liable for consequential damages resulting from the holdover, provided Landlord has given Tenant written notice of a succeeding tenant’s occupancy date at least thirty (30) days in advance.</w:t>
      </w:r>
    </w:p>
    <w:bookmarkEnd w:id="27"/>
    <w:bookmarkStart w:id="28" w:name="article-20.-access"/>
    <w:p>
      <w:pPr>
        <w:pStyle w:val="Heading2"/>
      </w:pPr>
      <w:r>
        <w:rPr>
          <w:rStyle w:val="SectionNumber"/>
        </w:rPr>
        <w:t xml:space="preserve">1.20</w:t>
      </w:r>
      <w:r>
        <w:tab/>
      </w:r>
      <w:r>
        <w:t xml:space="preserve">Article 20. Access</w:t>
      </w:r>
    </w:p>
    <w:p>
      <w:pPr>
        <w:pStyle w:val="FirstParagraph"/>
      </w:pPr>
      <w:r>
        <w:t xml:space="preserve">Landlord and its authorized representatives may enter the Premises at reasonable times on at least twenty-four (24) hours’ prior notice, which may be given by email to Tenant’s designated facilities contact, to inspect, make repairs, show the Premises to prospective purchasers or lenders, and, during the last twelve (12) months of the Term, to show the Premises to prospective tenants. No advance notice is required in an emergency. Landlord will comply with Tenant’s reasonable security procedures, including escort requirements for areas Tenant designates as secure.</w:t>
      </w:r>
    </w:p>
    <w:bookmarkEnd w:id="28"/>
    <w:bookmarkStart w:id="29" w:name="article-21.-hazardous-materials"/>
    <w:p>
      <w:pPr>
        <w:pStyle w:val="Heading2"/>
      </w:pPr>
      <w:r>
        <w:rPr>
          <w:rStyle w:val="SectionNumber"/>
        </w:rPr>
        <w:t xml:space="preserve">1.21</w:t>
      </w:r>
      <w:r>
        <w:tab/>
      </w:r>
      <w:r>
        <w:t xml:space="preserve">Article 21. Hazardous Materials</w:t>
      </w:r>
    </w:p>
    <w:p>
      <w:pPr>
        <w:pStyle w:val="FirstParagraph"/>
      </w:pPr>
      <w:r>
        <w:rPr>
          <w:b/>
          <w:bCs/>
        </w:rPr>
        <w:t xml:space="preserve">21.1 Tenant’s Covenant.</w:t>
      </w:r>
      <w:r>
        <w:t xml:space="preserve"> </w:t>
      </w:r>
      <w:r>
        <w:t xml:space="preserve">Tenant will not use, store, generate, or dispose of any Hazardous Material in or about the Premises or the Building, except for ordinary office and cleaning supplies used and stored in compliance with applicable law.</w:t>
      </w:r>
    </w:p>
    <w:p>
      <w:pPr>
        <w:pStyle w:val="BodyText"/>
      </w:pPr>
      <w:r>
        <w:rPr>
          <w:b/>
          <w:bCs/>
        </w:rPr>
        <w:t xml:space="preserve">21.2 Landlord’s Covenant and Indemnity.</w:t>
      </w:r>
      <w:r>
        <w:t xml:space="preserve"> </w:t>
      </w:r>
      <w:r>
        <w:t xml:space="preserve">Landlord represents that, to its knowledge as of the Lease Date, no Hazardous Material is present in the Building in violation of applicable law. Landlord will indemnify Tenant against all claims, losses, and remediation costs arising from Hazardous Materials present in the Building other than those introduced by Tenant or its agents, employees, contractors, or invitees.</w:t>
      </w:r>
    </w:p>
    <w:p>
      <w:pPr>
        <w:pStyle w:val="BodyText"/>
      </w:pPr>
      <w:r>
        <w:rPr>
          <w:b/>
          <w:bCs/>
        </w:rPr>
        <w:t xml:space="preserve">21.3 Definition.</w:t>
      </w:r>
      <w:r>
        <w:t xml:space="preserve"> </w:t>
      </w:r>
      <w:r>
        <w:t xml:space="preserve">“</w:t>
      </w:r>
      <w:r>
        <w:rPr>
          <w:b/>
          <w:bCs/>
        </w:rPr>
        <w:t xml:space="preserve">Hazardous Material</w:t>
      </w:r>
      <w:r>
        <w:t xml:space="preserve">”</w:t>
      </w:r>
      <w:r>
        <w:t xml:space="preserve"> </w:t>
      </w:r>
      <w:r>
        <w:t xml:space="preserve">means any substance regulated as hazardous, toxic, or a pollutant under applicable federal, state, or local environmental law, including asbestos, petroleum products, and per- and polyfluoroalkyl substances.</w:t>
      </w:r>
    </w:p>
    <w:bookmarkEnd w:id="29"/>
    <w:bookmarkStart w:id="30" w:name="article-22.-quiet-enjoyment"/>
    <w:p>
      <w:pPr>
        <w:pStyle w:val="Heading2"/>
      </w:pPr>
      <w:r>
        <w:rPr>
          <w:rStyle w:val="SectionNumber"/>
        </w:rPr>
        <w:t xml:space="preserve">1.22</w:t>
      </w:r>
      <w:r>
        <w:tab/>
      </w:r>
      <w:r>
        <w:t xml:space="preserve">Article 22. Quiet Enjoyment</w:t>
      </w:r>
    </w:p>
    <w:p>
      <w:pPr>
        <w:pStyle w:val="FirstParagraph"/>
      </w:pPr>
      <w:r>
        <w:t xml:space="preserve">So long as no Event of Default is continuing, Tenant may peaceably and quietly hold and enjoy the Premises for the Term, subject to the terms of this Lease, without hindrance from Landlord or anyone claiming by, through, or under Landlord.</w:t>
      </w:r>
    </w:p>
    <w:bookmarkEnd w:id="30"/>
    <w:bookmarkStart w:id="31" w:name="article-23.-parking"/>
    <w:p>
      <w:pPr>
        <w:pStyle w:val="Heading2"/>
      </w:pPr>
      <w:r>
        <w:rPr>
          <w:rStyle w:val="SectionNumber"/>
        </w:rPr>
        <w:t xml:space="preserve">1.23</w:t>
      </w:r>
      <w:r>
        <w:tab/>
      </w:r>
      <w:r>
        <w:t xml:space="preserve">Article 23. Parking</w:t>
      </w:r>
    </w:p>
    <w:p>
      <w:pPr>
        <w:pStyle w:val="FirstParagraph"/>
      </w:pPr>
      <w:r>
        <w:t xml:space="preserve">Tenant may use the parking spaces described in Section 1.14 during the Term at no additional charge for the Initial Term. Ten (10) of those spaces will be marked as reserved for Tenant in locations reasonably designated by Landlord on Level P1 of the garage. Landlord will not reduce the number of spaces available to Tenant except temporarily during repairs, in which case Landlord will provide reasonable alternative parking within a two (2) block radius.</w:t>
      </w:r>
    </w:p>
    <w:bookmarkEnd w:id="31"/>
    <w:bookmarkStart w:id="32" w:name="article-24.-signage"/>
    <w:p>
      <w:pPr>
        <w:pStyle w:val="Heading2"/>
      </w:pPr>
      <w:r>
        <w:rPr>
          <w:rStyle w:val="SectionNumber"/>
        </w:rPr>
        <w:t xml:space="preserve">1.24</w:t>
      </w:r>
      <w:r>
        <w:tab/>
      </w:r>
      <w:r>
        <w:t xml:space="preserve">Article 24. Signage</w:t>
      </w:r>
    </w:p>
    <w:p>
      <w:pPr>
        <w:pStyle w:val="FirstParagraph"/>
      </w:pPr>
      <w:r>
        <w:t xml:space="preserve">Tenant may install, at its expense and subject to Landlord’s prior written approval of design and the requirements of applicable law, (a) identification signage at the entrance to the Premises and on the elevator lobby of each floor of the Premises, and (b) one (1) listing on the Building directory in the main lobby for each five thousand (5,000) rentable square feet leased by Tenant. Tenant will remove its signage and repair any resulting damage at the end of the Term.</w:t>
      </w:r>
    </w:p>
    <w:bookmarkEnd w:id="32"/>
    <w:bookmarkStart w:id="33" w:name="article-25.-brokers"/>
    <w:p>
      <w:pPr>
        <w:pStyle w:val="Heading2"/>
      </w:pPr>
      <w:r>
        <w:rPr>
          <w:rStyle w:val="SectionNumber"/>
        </w:rPr>
        <w:t xml:space="preserve">1.25</w:t>
      </w:r>
      <w:r>
        <w:tab/>
      </w:r>
      <w:r>
        <w:t xml:space="preserve">Article 25. Brokers</w:t>
      </w:r>
    </w:p>
    <w:p>
      <w:pPr>
        <w:pStyle w:val="FirstParagraph"/>
      </w:pPr>
      <w:r>
        <w:t xml:space="preserve">Each party represents to the other that it has not dealt with any broker, agent, or finder in connection with this Lease. Each party will indemnify the other against any claim for a commission or fee asserted by any broker, agent, or finder claiming to have dealt with the indemnifying party in connection with this Lease.</w:t>
      </w:r>
    </w:p>
    <w:bookmarkEnd w:id="33"/>
    <w:bookmarkStart w:id="34" w:name="article-26.-notices"/>
    <w:p>
      <w:pPr>
        <w:pStyle w:val="Heading2"/>
      </w:pPr>
      <w:r>
        <w:rPr>
          <w:rStyle w:val="SectionNumber"/>
        </w:rPr>
        <w:t xml:space="preserve">1.26</w:t>
      </w:r>
      <w:r>
        <w:tab/>
      </w:r>
      <w:r>
        <w:t xml:space="preserve">Article 26. Notices</w:t>
      </w:r>
    </w:p>
    <w:p>
      <w:pPr>
        <w:pStyle w:val="FirstParagraph"/>
      </w:pPr>
      <w:r>
        <w:t xml:space="preserve">All notices under this Lease must be in writing and are effective on personal delivery, one (1) Business Day after deposit with a nationally recognized overnight courier with tracking, or three (3) Business Days after deposit in the U.S. mail, certified or registered, return receipt requested, addressed as follows:</w:t>
      </w:r>
    </w:p>
    <w:p>
      <w:pPr>
        <w:pStyle w:val="BodyText"/>
      </w:pPr>
      <w:r>
        <w:rPr>
          <w:b/>
          <w:bCs/>
        </w:rPr>
        <w:t xml:space="preserve">If to Landlord:</w:t>
      </w:r>
      <w:r>
        <w:t xml:space="preserve"> </w:t>
      </w:r>
      <w:r>
        <w:t xml:space="preserve">Ashgrove Properties LLC</w:t>
      </w:r>
      <w:r>
        <w:t xml:space="preserve"> </w:t>
      </w:r>
      <w:r>
        <w:t xml:space="preserve">c/o Ashgrove Asset Management</w:t>
      </w:r>
      <w:r>
        <w:t xml:space="preserve"> </w:t>
      </w:r>
      <w:r>
        <w:t xml:space="preserve">77 Ferry Landing Road, Suite 250</w:t>
      </w:r>
      <w:r>
        <w:t xml:space="preserve"> </w:t>
      </w:r>
      <w:r>
        <w:t xml:space="preserve">Wilmington, Delaware 19801</w:t>
      </w:r>
      <w:r>
        <w:t xml:space="preserve"> </w:t>
      </w:r>
      <w:r>
        <w:t xml:space="preserve">Attention: Director, Property Management</w:t>
      </w:r>
    </w:p>
    <w:p>
      <w:pPr>
        <w:pStyle w:val="BodyText"/>
      </w:pPr>
      <w:r>
        <w:rPr>
          <w:b/>
          <w:bCs/>
        </w:rPr>
        <w:t xml:space="preserve">If to Tenant:</w:t>
      </w:r>
      <w:r>
        <w:t xml:space="preserve"> </w:t>
      </w:r>
      <w:r>
        <w:t xml:space="preserve">Atticus Dundee Inc.</w:t>
      </w:r>
      <w:r>
        <w:t xml:space="preserve"> </w:t>
      </w:r>
      <w:r>
        <w:t xml:space="preserve">1450 Halverson Quay, Suite 600</w:t>
      </w:r>
      <w:r>
        <w:t xml:space="preserve"> </w:t>
      </w:r>
      <w:r>
        <w:t xml:space="preserve">Wilmington, Delaware 19801</w:t>
      </w:r>
      <w:r>
        <w:t xml:space="preserve"> </w:t>
      </w:r>
      <w:r>
        <w:t xml:space="preserve">Attention: General Counsel</w:t>
      </w:r>
    </w:p>
    <w:p>
      <w:pPr>
        <w:pStyle w:val="BodyText"/>
      </w:pPr>
      <w:r>
        <w:t xml:space="preserve">Either party may change its notice address by notice given in accordance with this Article 26.</w:t>
      </w:r>
    </w:p>
    <w:bookmarkEnd w:id="34"/>
    <w:bookmarkStart w:id="35" w:name="article-27.-general-provisions"/>
    <w:p>
      <w:pPr>
        <w:pStyle w:val="Heading2"/>
      </w:pPr>
      <w:r>
        <w:rPr>
          <w:rStyle w:val="SectionNumber"/>
        </w:rPr>
        <w:t xml:space="preserve">1.27</w:t>
      </w:r>
      <w:r>
        <w:tab/>
      </w:r>
      <w:r>
        <w:t xml:space="preserve">Article 27. General Provisions</w:t>
      </w:r>
    </w:p>
    <w:p>
      <w:pPr>
        <w:pStyle w:val="FirstParagraph"/>
      </w:pPr>
      <w:r>
        <w:rPr>
          <w:b/>
          <w:bCs/>
        </w:rPr>
        <w:t xml:space="preserve">27.1 Governing Law.</w:t>
      </w:r>
      <w:r>
        <w:t xml:space="preserve"> </w:t>
      </w:r>
      <w:r>
        <w:t xml:space="preserve">This Lease is governed by and construed in accordance with the laws of the State of Delaware, without regard to its conflict-of-laws principles. Each party irrevocably submits to the jurisdiction of the state and federal courts located in New Castle County, Delaware.</w:t>
      </w:r>
    </w:p>
    <w:p>
      <w:pPr>
        <w:pStyle w:val="BodyText"/>
      </w:pPr>
      <w:r>
        <w:rPr>
          <w:b/>
          <w:bCs/>
        </w:rPr>
        <w:t xml:space="preserve">27.2 Entire Agreement.</w:t>
      </w:r>
      <w:r>
        <w:t xml:space="preserve"> </w:t>
      </w:r>
      <w:r>
        <w:t xml:space="preserve">This Lease, including the Exhibits attached to it, is the entire agreement between the parties concerning the Premises and supersedes all prior negotiations, letters of intent, and understandings, whether written or oral.</w:t>
      </w:r>
    </w:p>
    <w:p>
      <w:pPr>
        <w:pStyle w:val="BodyText"/>
      </w:pPr>
      <w:r>
        <w:rPr>
          <w:b/>
          <w:bCs/>
        </w:rPr>
        <w:t xml:space="preserve">27.3 Amendment.</w:t>
      </w:r>
      <w:r>
        <w:t xml:space="preserve"> </w:t>
      </w:r>
      <w:r>
        <w:t xml:space="preserve">No amendment to this Lease is effective unless in writing and signed by both parties.</w:t>
      </w:r>
    </w:p>
    <w:p>
      <w:pPr>
        <w:pStyle w:val="BodyText"/>
      </w:pPr>
      <w:r>
        <w:rPr>
          <w:b/>
          <w:bCs/>
        </w:rPr>
        <w:t xml:space="preserve">27.4 Severability.</w:t>
      </w:r>
      <w:r>
        <w:t xml:space="preserve"> </w:t>
      </w:r>
      <w:r>
        <w:t xml:space="preserve">If any provision of this Lease is held unenforceable, the remaining provisions remain in full force and effect.</w:t>
      </w:r>
    </w:p>
    <w:p>
      <w:pPr>
        <w:pStyle w:val="BodyText"/>
      </w:pPr>
      <w:r>
        <w:rPr>
          <w:b/>
          <w:bCs/>
        </w:rPr>
        <w:t xml:space="preserve">27.5 Successors.</w:t>
      </w:r>
      <w:r>
        <w:t xml:space="preserve"> </w:t>
      </w:r>
      <w:r>
        <w:t xml:space="preserve">This Lease binds and benefits the parties and their respective permitted successors and assigns.</w:t>
      </w:r>
    </w:p>
    <w:p>
      <w:pPr>
        <w:pStyle w:val="BodyText"/>
      </w:pPr>
      <w:r>
        <w:rPr>
          <w:b/>
          <w:bCs/>
        </w:rPr>
        <w:t xml:space="preserve">27.6 Landlord’s Liability.</w:t>
      </w:r>
      <w:r>
        <w:t xml:space="preserve"> </w:t>
      </w:r>
      <w:r>
        <w:t xml:space="preserve">Tenant will look solely to Landlord’s interest in the Building for the satisfaction of any judgment against Landlord, and no member, manager, officer, or employee of Landlord has any personal liability under this Lease.</w:t>
      </w:r>
    </w:p>
    <w:p>
      <w:pPr>
        <w:pStyle w:val="BodyText"/>
      </w:pPr>
      <w:r>
        <w:rPr>
          <w:b/>
          <w:bCs/>
        </w:rPr>
        <w:t xml:space="preserve">27.7 Waiver of Jury Trial.</w:t>
      </w:r>
      <w:r>
        <w:t xml:space="preserve"> </w:t>
      </w:r>
      <w:r>
        <w:t xml:space="preserve">LANDLORD AND TENANT EACH WAIVE ANY RIGHT TO TRIAL BY JURY IN ANY ACTION ARISING OUT OF OR RELATING TO THIS LEASE.</w:t>
      </w:r>
    </w:p>
    <w:p>
      <w:pPr>
        <w:pStyle w:val="BodyText"/>
      </w:pPr>
      <w:r>
        <w:rPr>
          <w:b/>
          <w:bCs/>
        </w:rPr>
        <w:t xml:space="preserve">27.8 Force Majeure.</w:t>
      </w:r>
      <w:r>
        <w:t xml:space="preserve"> </w:t>
      </w:r>
      <w:r>
        <w:t xml:space="preserve">Neither party is liable for a delay in performing a non-monetary obligation caused by an event beyond its reasonable control, and the time for performance is extended by the period of the delay.</w:t>
      </w:r>
    </w:p>
    <w:p>
      <w:pPr>
        <w:pStyle w:val="BodyText"/>
      </w:pPr>
      <w:r>
        <w:rPr>
          <w:b/>
          <w:bCs/>
        </w:rPr>
        <w:t xml:space="preserve">27.9 Counterparts; Electronic Signature.</w:t>
      </w:r>
      <w:r>
        <w:t xml:space="preserve"> </w:t>
      </w:r>
      <w:r>
        <w:t xml:space="preserve">This Lease may be executed in counterparts, and signatures delivered electronically have the same effect as original signatures.</w:t>
      </w:r>
    </w:p>
    <w:p>
      <w:pPr>
        <w:pStyle w:val="BodyText"/>
      </w:pPr>
      <w:r>
        <w:rPr>
          <w:b/>
          <w:bCs/>
        </w:rPr>
        <w:t xml:space="preserve">27.10 Authority.</w:t>
      </w:r>
      <w:r>
        <w:t xml:space="preserve"> </w:t>
      </w:r>
      <w:r>
        <w:t xml:space="preserve">Each party represents that the person signing this Lease on its behalf is duly authorized to do so.</w:t>
      </w:r>
    </w:p>
    <w:p>
      <w:pPr>
        <w:pStyle w:val="BodyText"/>
      </w:pPr>
      <w:r>
        <w:rPr>
          <w:b/>
          <w:bCs/>
        </w:rPr>
        <w:t xml:space="preserve">27.11 Exhibits.</w:t>
      </w:r>
      <w:r>
        <w:t xml:space="preserve"> </w:t>
      </w:r>
      <w:r>
        <w:t xml:space="preserve">The following Exhibits are attached to and made part of this Lease: Exhibit A (Floor Plan of the Premises); Exhibit B (Rules and Regulations); Exhibit C (Work Letter); Exhibit D (Form of Commencement Date Certificate).</w:t>
      </w:r>
    </w:p>
    <w:bookmarkEnd w:id="35"/>
    <w:bookmarkStart w:id="36" w:name="signature-page"/>
    <w:p>
      <w:pPr>
        <w:pStyle w:val="Heading2"/>
      </w:pPr>
      <w:r>
        <w:rPr>
          <w:rStyle w:val="SectionNumber"/>
        </w:rPr>
        <w:t xml:space="preserve">1.28</w:t>
      </w:r>
      <w:r>
        <w:tab/>
      </w:r>
      <w:r>
        <w:t xml:space="preserve">Signature Page</w:t>
      </w:r>
    </w:p>
    <w:p>
      <w:pPr>
        <w:pStyle w:val="FirstParagraph"/>
      </w:pPr>
      <w:r>
        <w:rPr>
          <w:b/>
          <w:bCs/>
        </w:rPr>
        <w:t xml:space="preserve">IN WITNESS WHEREOF</w:t>
      </w:r>
      <w:r>
        <w:t xml:space="preserve">, the parties have executed this Lease as of the Lease Date.</w:t>
      </w:r>
    </w:p>
    <w:p>
      <w:pPr>
        <w:pStyle w:val="BodyText"/>
      </w:pPr>
      <w:r>
        <w:rPr>
          <w:b/>
          <w:bCs/>
        </w:rPr>
        <w:t xml:space="preserve">LANDLORD: ASHGROVE PROPERTIES LLC</w:t>
      </w:r>
      <w:r>
        <w:t xml:space="preserve">, a Delaware limited liability company</w:t>
      </w:r>
    </w:p>
    <w:p>
      <w:pPr>
        <w:pStyle w:val="BodyText"/>
      </w:pPr>
      <w:r>
        <w:t xml:space="preserve">By: _______________________________</w:t>
      </w:r>
    </w:p>
    <w:p>
      <w:pPr>
        <w:pStyle w:val="BodyText"/>
      </w:pPr>
      <w:r>
        <w:t xml:space="preserve">Name: Merrick Ashgrove-Pell</w:t>
      </w:r>
    </w:p>
    <w:p>
      <w:pPr>
        <w:pStyle w:val="BodyText"/>
      </w:pPr>
      <w:r>
        <w:t xml:space="preserve">Title: Manager</w:t>
      </w:r>
    </w:p>
    <w:p>
      <w:pPr>
        <w:pStyle w:val="BodyText"/>
      </w:pPr>
      <w:r>
        <w:t xml:space="preserve">Date: _______________________________</w:t>
      </w:r>
    </w:p>
    <w:p>
      <w:pPr>
        <w:pStyle w:val="BodyText"/>
      </w:pPr>
      <w:r>
        <w:rPr>
          <w:b/>
          <w:bCs/>
        </w:rPr>
        <w:t xml:space="preserve">TENANT: ATTICUS DUNDEE INC.</w:t>
      </w:r>
      <w:r>
        <w:t xml:space="preserve">, a Delaware corporation</w:t>
      </w:r>
    </w:p>
    <w:p>
      <w:pPr>
        <w:pStyle w:val="BodyText"/>
      </w:pPr>
      <w:r>
        <w:t xml:space="preserve">By: _______________________________</w:t>
      </w:r>
    </w:p>
    <w:p>
      <w:pPr>
        <w:pStyle w:val="BodyText"/>
      </w:pPr>
      <w:r>
        <w:t xml:space="preserve">Name: Daniel Osei-Bonsu</w:t>
      </w:r>
    </w:p>
    <w:p>
      <w:pPr>
        <w:pStyle w:val="BodyText"/>
      </w:pPr>
      <w:r>
        <w:t xml:space="preserve">Title: Chief Financial Officer</w:t>
      </w:r>
    </w:p>
    <w:p>
      <w:pPr>
        <w:pStyle w:val="BodyText"/>
      </w:pPr>
      <w:r>
        <w:t xml:space="preserve">Date: _______________________________</w:t>
      </w:r>
    </w:p>
    <w:bookmarkEnd w:id="36"/>
    <w:bookmarkStart w:id="37" w:name="exhibit-a-floor-plan-of-the-premises"/>
    <w:p>
      <w:pPr>
        <w:pStyle w:val="Heading2"/>
      </w:pPr>
      <w:r>
        <w:rPr>
          <w:rStyle w:val="SectionNumber"/>
        </w:rPr>
        <w:t xml:space="preserve">1.29</w:t>
      </w:r>
      <w:r>
        <w:tab/>
      </w:r>
      <w:r>
        <w:t xml:space="preserve">Exhibit A — Floor Plan of the Premises</w:t>
      </w:r>
    </w:p>
    <w:p>
      <w:pPr>
        <w:pStyle w:val="FirstParagraph"/>
      </w:pPr>
      <w:r>
        <w:t xml:space="preserve">The Premises consist of the entirety of the fifth and sixth floors of the Building, comprising 42,000 rentable square feet in the aggregate (21,000 rentable square feet per floor), bounded by the exterior curtain wall on the north, east, and south elevations and by the core wall on the west elevation, and including the elevator lobby, interior stairwell connecting the two floors, and restrooms on each floor. The floor plan of record is the plan prepared by the Building architect dated June 3, 2024 and initialed by the parties, a copy of which is maintained in the management office and in Tenant’s lease file.</w:t>
      </w:r>
    </w:p>
    <w:bookmarkEnd w:id="37"/>
    <w:bookmarkStart w:id="38" w:name="exhibit-b-rules-and-regulations"/>
    <w:p>
      <w:pPr>
        <w:pStyle w:val="Heading2"/>
      </w:pPr>
      <w:r>
        <w:rPr>
          <w:rStyle w:val="SectionNumber"/>
        </w:rPr>
        <w:t xml:space="preserve">1.30</w:t>
      </w:r>
      <w:r>
        <w:tab/>
      </w:r>
      <w:r>
        <w:t xml:space="preserve">Exhibit B — Rules and Regulations</w:t>
      </w:r>
    </w:p>
    <w:p>
      <w:pPr>
        <w:pStyle w:val="Compact"/>
        <w:numPr>
          <w:ilvl w:val="0"/>
          <w:numId w:val="1001"/>
        </w:numPr>
      </w:pPr>
      <w:r>
        <w:t xml:space="preserve">Tenant will not obstruct the sidewalks, entrances, lobbies, corridors, elevators, or stairways of the Building.</w:t>
      </w:r>
    </w:p>
    <w:p>
      <w:pPr>
        <w:pStyle w:val="Compact"/>
        <w:numPr>
          <w:ilvl w:val="0"/>
          <w:numId w:val="1001"/>
        </w:numPr>
      </w:pPr>
      <w:r>
        <w:t xml:space="preserve">Tenant will not place any object on window sills or attach anything to the exterior of the Building.</w:t>
      </w:r>
    </w:p>
    <w:p>
      <w:pPr>
        <w:pStyle w:val="Compact"/>
        <w:numPr>
          <w:ilvl w:val="0"/>
          <w:numId w:val="1001"/>
        </w:numPr>
      </w:pPr>
      <w:r>
        <w:t xml:space="preserve">Deliveries of furniture, equipment, and freight will be made through the loading dock and freight elevator, and, if the delivery requires the extended use of the freight elevator, must be scheduled with the management office at least twenty-four (24) hours in advance.</w:t>
      </w:r>
    </w:p>
    <w:p>
      <w:pPr>
        <w:pStyle w:val="Compact"/>
        <w:numPr>
          <w:ilvl w:val="0"/>
          <w:numId w:val="1001"/>
        </w:numPr>
      </w:pPr>
      <w:r>
        <w:t xml:space="preserve">Tenant will not make or permit noise, vibration, or odor that unreasonably disturbs other occupants of the Building.</w:t>
      </w:r>
    </w:p>
    <w:p>
      <w:pPr>
        <w:pStyle w:val="Compact"/>
        <w:numPr>
          <w:ilvl w:val="0"/>
          <w:numId w:val="1001"/>
        </w:numPr>
      </w:pPr>
      <w:r>
        <w:t xml:space="preserve">Smoking and vaping are prohibited in the Building and within twenty-five (25) feet of any entrance.</w:t>
      </w:r>
    </w:p>
    <w:p>
      <w:pPr>
        <w:pStyle w:val="Compact"/>
        <w:numPr>
          <w:ilvl w:val="0"/>
          <w:numId w:val="1001"/>
        </w:numPr>
      </w:pPr>
      <w:r>
        <w:t xml:space="preserve">Tenant will not bring animals into the Building other than service animals.</w:t>
      </w:r>
    </w:p>
    <w:p>
      <w:pPr>
        <w:pStyle w:val="Compact"/>
        <w:numPr>
          <w:ilvl w:val="0"/>
          <w:numId w:val="1001"/>
        </w:numPr>
      </w:pPr>
      <w:r>
        <w:t xml:space="preserve">Tenant will not install additional locks or change any lock on a door serving the Premises without providing the management office with a key or access credential.</w:t>
      </w:r>
    </w:p>
    <w:p>
      <w:pPr>
        <w:pStyle w:val="Compact"/>
        <w:numPr>
          <w:ilvl w:val="0"/>
          <w:numId w:val="1001"/>
        </w:numPr>
      </w:pPr>
      <w:r>
        <w:t xml:space="preserve">Tenant will keep the Premises reasonably free of refuse and will use only the waste and recycling receptacles designated by Landlord.</w:t>
      </w:r>
    </w:p>
    <w:p>
      <w:pPr>
        <w:pStyle w:val="Compact"/>
        <w:numPr>
          <w:ilvl w:val="0"/>
          <w:numId w:val="1001"/>
        </w:numPr>
      </w:pPr>
      <w:r>
        <w:t xml:space="preserve">Tenant will not use the Common Areas for any event, promotion, or solicitation without Landlord’s prior written approval.</w:t>
      </w:r>
    </w:p>
    <w:p>
      <w:pPr>
        <w:pStyle w:val="Compact"/>
        <w:numPr>
          <w:ilvl w:val="0"/>
          <w:numId w:val="1001"/>
        </w:numPr>
      </w:pPr>
      <w:r>
        <w:t xml:space="preserve">Landlord may adopt reasonable additional rules of general application, provided they do not materially increase Tenant’s obligations or materially decrease Tenant’s rights under this Lease.</w:t>
      </w:r>
    </w:p>
    <w:bookmarkEnd w:id="38"/>
    <w:bookmarkStart w:id="39" w:name="exhibit-c-work-letter"/>
    <w:p>
      <w:pPr>
        <w:pStyle w:val="Heading2"/>
      </w:pPr>
      <w:r>
        <w:rPr>
          <w:rStyle w:val="SectionNumber"/>
        </w:rPr>
        <w:t xml:space="preserve">1.31</w:t>
      </w:r>
      <w:r>
        <w:tab/>
      </w:r>
      <w:r>
        <w:t xml:space="preserve">Exhibit C — Work Letter</w:t>
      </w:r>
    </w:p>
    <w:p>
      <w:pPr>
        <w:pStyle w:val="FirstParagraph"/>
      </w:pPr>
      <w:r>
        <w:rPr>
          <w:b/>
          <w:bCs/>
        </w:rPr>
        <w:t xml:space="preserve">C.1 Landlord’s Work.</w:t>
      </w:r>
      <w:r>
        <w:t xml:space="preserve"> </w:t>
      </w:r>
      <w:r>
        <w:t xml:space="preserve">Before the Commencement Date, Landlord will, at its sole cost and not as part of the Tenant Improvement Allowance, deliver the Premises with the base building systems in good working order, the elevator lobbies on each floor finished to Building standard, the restrooms on each floor in compliance with the Americans with Disabilities Act, and the floors broom clean and free of prior tenant improvements (</w:t>
      </w:r>
      <w:r>
        <w:t xml:space="preserve">“</w:t>
      </w:r>
      <w:r>
        <w:rPr>
          <w:b/>
          <w:bCs/>
        </w:rPr>
        <w:t xml:space="preserve">Landlord’s Work</w:t>
      </w:r>
      <w:r>
        <w:t xml:space="preserve">”</w:t>
      </w:r>
      <w:r>
        <w:t xml:space="preserve">).</w:t>
      </w:r>
    </w:p>
    <w:p>
      <w:pPr>
        <w:pStyle w:val="BodyText"/>
      </w:pPr>
      <w:r>
        <w:rPr>
          <w:b/>
          <w:bCs/>
        </w:rPr>
        <w:t xml:space="preserve">C.2 Tenant’s Work.</w:t>
      </w:r>
      <w:r>
        <w:t xml:space="preserve"> </w:t>
      </w:r>
      <w:r>
        <w:t xml:space="preserve">Tenant will design and construct the interior improvements to the Premises (</w:t>
      </w:r>
      <w:r>
        <w:t xml:space="preserve">“</w:t>
      </w:r>
      <w:r>
        <w:rPr>
          <w:b/>
          <w:bCs/>
        </w:rPr>
        <w:t xml:space="preserve">Tenant’s Work</w:t>
      </w:r>
      <w:r>
        <w:t xml:space="preserve">”</w:t>
      </w:r>
      <w:r>
        <w:t xml:space="preserve">) in accordance with plans approved by Landlord, whose approval will not be unreasonably withheld, conditioned, or delayed. Landlord will respond to submitted plans within ten (10) Business Days.</w:t>
      </w:r>
    </w:p>
    <w:p>
      <w:pPr>
        <w:pStyle w:val="BodyText"/>
      </w:pPr>
      <w:r>
        <w:rPr>
          <w:b/>
          <w:bCs/>
        </w:rPr>
        <w:t xml:space="preserve">C.3 Allowance Disbursement.</w:t>
      </w:r>
      <w:r>
        <w:t xml:space="preserve"> </w:t>
      </w:r>
      <w:r>
        <w:t xml:space="preserve">Landlord will disburse the Tenant Improvement Allowance within thirty (30) days after Tenant delivers a requisition package containing (a) contractor invoices, (b) conditional lien waivers for the work covered by the requisition and unconditional lien waivers for work covered by the prior requisition, and (c) a certification from Tenant’s architect that the work covered by the requisition has been completed. Landlord may retain ten percent (10%) of each disbursement until Tenant delivers final unconditional lien waivers and a certificate of occupancy for the Premises.</w:t>
      </w:r>
    </w:p>
    <w:p>
      <w:pPr>
        <w:pStyle w:val="BodyText"/>
      </w:pPr>
      <w:r>
        <w:rPr>
          <w:b/>
          <w:bCs/>
        </w:rPr>
        <w:t xml:space="preserve">C.4 Permitted Uses of the Allowance.</w:t>
      </w:r>
      <w:r>
        <w:t xml:space="preserve"> </w:t>
      </w:r>
      <w:r>
        <w:t xml:space="preserve">The Tenant Improvement Allowance may be applied to hard construction costs, architectural and engineering fees, permits, project management fees, low-voltage cabling, and, in an amount not exceeding ten percent (10%) of the allowance, to furniture, fixtures, and equipment.</w:t>
      </w:r>
    </w:p>
    <w:p>
      <w:pPr>
        <w:pStyle w:val="BodyText"/>
      </w:pPr>
      <w:r>
        <w:rPr>
          <w:b/>
          <w:bCs/>
        </w:rPr>
        <w:t xml:space="preserve">C.5 Cost Overruns.</w:t>
      </w:r>
      <w:r>
        <w:t xml:space="preserve"> </w:t>
      </w:r>
      <w:r>
        <w:t xml:space="preserve">Tenant is responsible for all costs of Tenant’s Work in excess of the Tenant Improvement Allowance.</w:t>
      </w:r>
    </w:p>
    <w:bookmarkEnd w:id="39"/>
    <w:bookmarkStart w:id="40" w:name="Xf74ddb8894d9df6c0d62651c819cfa51f4da52d"/>
    <w:p>
      <w:pPr>
        <w:pStyle w:val="Heading2"/>
      </w:pPr>
      <w:r>
        <w:rPr>
          <w:rStyle w:val="SectionNumber"/>
        </w:rPr>
        <w:t xml:space="preserve">1.32</w:t>
      </w:r>
      <w:r>
        <w:tab/>
      </w:r>
      <w:r>
        <w:t xml:space="preserve">Exhibit D — Form of Commencement Date Certificate</w:t>
      </w:r>
    </w:p>
    <w:p>
      <w:pPr>
        <w:pStyle w:val="FirstParagraph"/>
      </w:pPr>
      <w:r>
        <w:rPr>
          <w:b/>
          <w:bCs/>
        </w:rPr>
        <w:t xml:space="preserve">Commencement Date Certificate</w:t>
      </w:r>
    </w:p>
    <w:p>
      <w:pPr>
        <w:pStyle w:val="BodyText"/>
      </w:pPr>
      <w:r>
        <w:t xml:space="preserve">Reference is made to the Office Lease Agreement dated August 14, 2024 between Ashgrove Properties LLC, as Landlord, and Atticus Dundee Inc., as Tenant, for Suite 600 at Halverson Quay Center, 1450 Halverson Quay, Wilmington, Delaware.</w:t>
      </w:r>
    </w:p>
    <w:p>
      <w:pPr>
        <w:pStyle w:val="BodyText"/>
      </w:pPr>
      <w:r>
        <w:t xml:space="preserve">Landlord and Tenant confirm that:</w:t>
      </w:r>
    </w:p>
    <w:p>
      <w:pPr>
        <w:pStyle w:val="Compact"/>
        <w:numPr>
          <w:ilvl w:val="0"/>
          <w:numId w:val="1002"/>
        </w:numPr>
      </w:pPr>
      <w:r>
        <w:t xml:space="preserve">The Commencement Date is October 1, 2024.</w:t>
      </w:r>
    </w:p>
    <w:p>
      <w:pPr>
        <w:pStyle w:val="Compact"/>
        <w:numPr>
          <w:ilvl w:val="0"/>
          <w:numId w:val="1002"/>
        </w:numPr>
      </w:pPr>
      <w:r>
        <w:t xml:space="preserve">The Expiration Date is September 30, 2031.</w:t>
      </w:r>
    </w:p>
    <w:p>
      <w:pPr>
        <w:pStyle w:val="Compact"/>
        <w:numPr>
          <w:ilvl w:val="0"/>
          <w:numId w:val="1002"/>
        </w:numPr>
      </w:pPr>
      <w:r>
        <w:t xml:space="preserve">The Premises contain 42,000 rentable square feet.</w:t>
      </w:r>
    </w:p>
    <w:p>
      <w:pPr>
        <w:pStyle w:val="Compact"/>
        <w:numPr>
          <w:ilvl w:val="0"/>
          <w:numId w:val="1002"/>
        </w:numPr>
      </w:pPr>
      <w:r>
        <w:t xml:space="preserve">Tenant’s Proportionate Share is 25.00%.</w:t>
      </w:r>
    </w:p>
    <w:p>
      <w:pPr>
        <w:pStyle w:val="Compact"/>
        <w:numPr>
          <w:ilvl w:val="0"/>
          <w:numId w:val="1002"/>
        </w:numPr>
      </w:pPr>
      <w:r>
        <w:t xml:space="preserve">Landlord’s Work has been substantially completed, subject only to the punch list attached to this certificate.</w:t>
      </w:r>
    </w:p>
    <w:p>
      <w:pPr>
        <w:pStyle w:val="Compact"/>
        <w:numPr>
          <w:ilvl w:val="0"/>
          <w:numId w:val="1002"/>
        </w:numPr>
      </w:pPr>
      <w:r>
        <w:t xml:space="preserve">The Lease is in full force and effect, and to the knowledge of the party signing below, no default exists under the Lease.</w:t>
      </w:r>
    </w:p>
    <w:p>
      <w:pPr>
        <w:pStyle w:val="FirstParagraph"/>
      </w:pPr>
      <w:r>
        <w:rPr>
          <w:b/>
          <w:bCs/>
        </w:rPr>
        <w:t xml:space="preserve">LANDLORD:</w:t>
      </w:r>
      <w:r>
        <w:t xml:space="preserve"> </w:t>
      </w:r>
      <w:r>
        <w:t xml:space="preserve">Ashgrove Properties LLC</w:t>
      </w:r>
    </w:p>
    <w:p>
      <w:pPr>
        <w:pStyle w:val="BodyText"/>
      </w:pPr>
      <w:r>
        <w:t xml:space="preserve">By: _______________________________ Name: _______________________________ Title: _______________________________</w:t>
      </w:r>
    </w:p>
    <w:p>
      <w:pPr>
        <w:pStyle w:val="BodyText"/>
      </w:pPr>
      <w:r>
        <w:rPr>
          <w:b/>
          <w:bCs/>
        </w:rPr>
        <w:t xml:space="preserve">TENANT:</w:t>
      </w:r>
      <w:r>
        <w:t xml:space="preserve"> </w:t>
      </w:r>
      <w:r>
        <w:t xml:space="preserve">Atticus Dundee Inc.</w:t>
      </w:r>
    </w:p>
    <w:p>
      <w:pPr>
        <w:pStyle w:val="BodyText"/>
      </w:pPr>
      <w:r>
        <w:t xml:space="preserve">By: _______________________________ Name: _______________________________ Title: _______________________________</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2026-08-09T01:49:52Z</dcterms:created>
  <dcterms:modified xsi:type="dcterms:W3CDTF">2026-08-09T01:49:52Z</dcterms:modified>
</cp:coreProperties>
</file>

<file path=docProps/custom.xml><?xml version="1.0" encoding="utf-8"?>
<Properties xmlns="http://schemas.openxmlformats.org/officeDocument/2006/custom-properties" xmlns:vt="http://schemas.openxmlformats.org/officeDocument/2006/docPropsVTypes"/>
</file>