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6719a2d0374a3cada8c283c5d007a86911d5e24"/>
    <w:p>
      <w:pPr>
        <w:pStyle w:val="Heading1"/>
      </w:pPr>
      <w:r>
        <w:rPr>
          <w:rStyle w:val="SectionNumber"/>
        </w:rPr>
        <w:t xml:space="preserve">1</w:t>
      </w:r>
      <w:r>
        <w:tab/>
      </w:r>
      <w:r>
        <w:t xml:space="preserve">Quarterly Report to the Audit and Risk Committee: IP, NDA, and Vendor Risk</w:t>
      </w:r>
    </w:p>
    <w:p>
      <w:pPr>
        <w:pStyle w:val="FirstParagraph"/>
      </w:pPr>
      <w:r>
        <w:rPr>
          <w:b/>
          <w:bCs/>
        </w:rPr>
        <w:t xml:space="preserve">ATTICUS DUNDEE INC. — Office of the General Counsel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Report</w:t>
            </w:r>
          </w:p>
        </w:tc>
        <w:tc>
          <w:tcPr/>
          <w:p>
            <w:pPr>
              <w:pStyle w:val="Compact"/>
            </w:pPr>
            <w:r>
              <w:t xml:space="preserve">Q2 2026 (April 1 to June 30, 2026)</w:t>
            </w:r>
          </w:p>
        </w:tc>
      </w:tr>
      <w:tr>
        <w:tc>
          <w:tcPr/>
          <w:p>
            <w:pPr>
              <w:pStyle w:val="Compact"/>
            </w:pPr>
            <w:r>
              <w:t xml:space="preserve">Prepared by</w:t>
            </w:r>
          </w:p>
        </w:tc>
        <w:tc>
          <w:tcPr/>
          <w:p>
            <w:pPr>
              <w:pStyle w:val="Compact"/>
            </w:pPr>
            <w:r>
              <w:t xml:space="preserve">Naomi F. Aitken, General Counsel</w:t>
            </w:r>
          </w:p>
        </w:tc>
      </w:tr>
      <w:tr>
        <w:tc>
          <w:tcPr/>
          <w:p>
            <w:pPr>
              <w:pStyle w:val="Compact"/>
            </w:pPr>
            <w:r>
              <w:t xml:space="preserve">Contributors</w:t>
            </w:r>
          </w:p>
        </w:tc>
        <w:tc>
          <w:tcPr/>
          <w:p>
            <w:pPr>
              <w:pStyle w:val="Compact"/>
            </w:pPr>
            <w:r>
              <w:t xml:space="preserve">Devraj S. Iyer (IP); Lucia M. Ferrante and Aleksy Pietrzak (NDA); Cordelia B. Nwosu (vendor risk)</w:t>
            </w:r>
          </w:p>
        </w:tc>
      </w:tr>
      <w:tr>
        <w:tc>
          <w:tcPr/>
          <w:p>
            <w:pPr>
              <w:pStyle w:val="Compact"/>
            </w:pPr>
            <w:r>
              <w:t xml:space="preserve">Issued</w:t>
            </w:r>
          </w:p>
        </w:tc>
        <w:tc>
          <w:tcPr/>
          <w:p>
            <w:pPr>
              <w:pStyle w:val="Compact"/>
            </w:pPr>
            <w:r>
              <w:t xml:space="preserve">July 15, 2026</w:t>
            </w:r>
          </w:p>
        </w:tc>
      </w:tr>
      <w:tr>
        <w:tc>
          <w:tcPr/>
          <w:p>
            <w:pPr>
              <w:pStyle w:val="Compact"/>
            </w:pPr>
            <w:r>
              <w:t xml:space="preserve">Committee meeting</w:t>
            </w:r>
          </w:p>
        </w:tc>
        <w:tc>
          <w:tcPr/>
          <w:p>
            <w:pPr>
              <w:pStyle w:val="Compact"/>
            </w:pPr>
            <w:r>
              <w:t xml:space="preserve">July 22, 2026</w:t>
            </w:r>
          </w:p>
        </w:tc>
      </w:tr>
      <w:tr>
        <w:tc>
          <w:tcPr/>
          <w:p>
            <w:pPr>
              <w:pStyle w:val="Compact"/>
            </w:pPr>
            <w:r>
              <w:t xml:space="preserve">Program</w:t>
            </w:r>
          </w:p>
        </w:tc>
        <w:tc>
          <w:tcPr/>
          <w:p>
            <w:pPr>
              <w:pStyle w:val="Compact"/>
            </w:pPr>
            <w:r>
              <w:t xml:space="preserve">LEG-PRG-004</w:t>
            </w:r>
          </w:p>
        </w:tc>
      </w:tr>
      <w:tr>
        <w:tc>
          <w:tcPr/>
          <w:p>
            <w:pPr>
              <w:pStyle w:val="Compact"/>
            </w:pPr>
            <w:r>
              <w:t xml:space="preserve">Classification</w:t>
            </w:r>
          </w:p>
        </w:tc>
        <w:tc>
          <w:tcPr/>
          <w:p>
            <w:pPr>
              <w:pStyle w:val="Compact"/>
            </w:pPr>
            <w:r>
              <w:t xml:space="preserve">Confidential, board material</w:t>
            </w:r>
          </w:p>
        </w:tc>
      </w:tr>
    </w:tbl>
    <w:p>
      <w:r>
        <w:pict>
          <v:rect style="width:0;height:1.5pt" o:hralign="center" o:hrstd="t" o:hr="t"/>
        </w:pict>
      </w:r>
    </w:p>
    <w:bookmarkStart w:id="9" w:name="program-health-score"/>
    <w:p>
      <w:pPr>
        <w:pStyle w:val="Heading2"/>
      </w:pPr>
      <w:r>
        <w:rPr>
          <w:rStyle w:val="SectionNumber"/>
        </w:rPr>
        <w:t xml:space="preserve">1.1</w:t>
      </w:r>
      <w:r>
        <w:tab/>
      </w:r>
      <w:r>
        <w:t xml:space="preserve">1. Program Health Score</w:t>
      </w:r>
    </w:p>
    <w:p>
      <w:pPr>
        <w:pStyle w:val="FirstParagraph"/>
      </w:pPr>
      <w:r>
        <w:rPr>
          <w:b/>
          <w:bCs/>
        </w:rPr>
        <w:t xml:space="preserve">Composite health score: 68 out of 100. Prior quarter: 81. Direction: down.</w:t>
      </w:r>
    </w:p>
    <w:p>
      <w:pPr>
        <w:pStyle w:val="BodyText"/>
      </w:pPr>
      <w:r>
        <w:t xml:space="preserve">The score is the weighted average of the eight program metrics in LEG-PRG-004 Section 6, each normalized to 100 against its target. It fell thirteen points this quarter for three specific reasons, all identified below and none of which is a surprise to this committee’s members who read the interim note of June 26,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Program</w:t>
            </w:r>
          </w:p>
        </w:tc>
        <w:tc>
          <w:tcPr/>
          <w:p>
            <w:pPr>
              <w:pStyle w:val="Compact"/>
            </w:pPr>
            <w:r>
              <w:t xml:space="preserve">Weight</w:t>
            </w:r>
          </w:p>
        </w:tc>
        <w:tc>
          <w:tcPr/>
          <w:p>
            <w:pPr>
              <w:pStyle w:val="Compact"/>
            </w:pPr>
            <w:r>
              <w:t xml:space="preserve">Score</w:t>
            </w:r>
          </w:p>
        </w:tc>
        <w:tc>
          <w:tcPr/>
          <w:p>
            <w:pPr>
              <w:pStyle w:val="Compact"/>
            </w:pPr>
            <w:r>
              <w:t xml:space="preserve">Prior</w:t>
            </w:r>
          </w:p>
        </w:tc>
        <w:tc>
          <w:tcPr/>
          <w:p>
            <w:pPr>
              <w:pStyle w:val="Compact"/>
            </w:pPr>
            <w:r>
              <w:t xml:space="preserve">Direction</w:t>
            </w:r>
          </w:p>
        </w:tc>
        <w:tc>
          <w:tcPr/>
          <w:p>
            <w:pPr>
              <w:pStyle w:val="Compact"/>
            </w:pPr>
            <w:r>
              <w:t xml:space="preserve">Status</w:t>
            </w:r>
          </w:p>
        </w:tc>
      </w:tr>
      <w:tr>
        <w:tc>
          <w:tcPr/>
          <w:p>
            <w:pPr>
              <w:pStyle w:val="Compact"/>
            </w:pPr>
            <w:r>
              <w:t xml:space="preserve">Intellectual property</w:t>
            </w:r>
          </w:p>
        </w:tc>
        <w:tc>
          <w:tcPr/>
          <w:p>
            <w:pPr>
              <w:pStyle w:val="Compact"/>
            </w:pPr>
            <w:r>
              <w:t xml:space="preserve">35%</w:t>
            </w:r>
          </w:p>
        </w:tc>
        <w:tc>
          <w:tcPr/>
          <w:p>
            <w:pPr>
              <w:pStyle w:val="Compact"/>
            </w:pPr>
            <w:r>
              <w:t xml:space="preserve">61</w:t>
            </w:r>
          </w:p>
        </w:tc>
        <w:tc>
          <w:tcPr/>
          <w:p>
            <w:pPr>
              <w:pStyle w:val="Compact"/>
            </w:pPr>
            <w:r>
              <w:t xml:space="preserve">84</w:t>
            </w:r>
          </w:p>
        </w:tc>
        <w:tc>
          <w:tcPr/>
          <w:p>
            <w:pPr>
              <w:pStyle w:val="Compact"/>
            </w:pPr>
            <w:r>
              <w:t xml:space="preserve">Down 23</w:t>
            </w:r>
          </w:p>
        </w:tc>
        <w:tc>
          <w:tcPr/>
          <w:p>
            <w:pPr>
              <w:pStyle w:val="Compact"/>
            </w:pPr>
            <w:r>
              <w:t xml:space="preserve">AMBER</w:t>
            </w:r>
          </w:p>
        </w:tc>
      </w:tr>
      <w:tr>
        <w:tc>
          <w:tcPr/>
          <w:p>
            <w:pPr>
              <w:pStyle w:val="Compact"/>
            </w:pPr>
            <w:r>
              <w:t xml:space="preserve">Confidentiality agreements</w:t>
            </w:r>
          </w:p>
        </w:tc>
        <w:tc>
          <w:tcPr/>
          <w:p>
            <w:pPr>
              <w:pStyle w:val="Compact"/>
            </w:pPr>
            <w:r>
              <w:t xml:space="preserve">25%</w:t>
            </w:r>
          </w:p>
        </w:tc>
        <w:tc>
          <w:tcPr/>
          <w:p>
            <w:pPr>
              <w:pStyle w:val="Compact"/>
            </w:pPr>
            <w:r>
              <w:t xml:space="preserve">88</w:t>
            </w:r>
          </w:p>
        </w:tc>
        <w:tc>
          <w:tcPr/>
          <w:p>
            <w:pPr>
              <w:pStyle w:val="Compact"/>
            </w:pPr>
            <w:r>
              <w:t xml:space="preserve">86</w:t>
            </w:r>
          </w:p>
        </w:tc>
        <w:tc>
          <w:tcPr/>
          <w:p>
            <w:pPr>
              <w:pStyle w:val="Compact"/>
            </w:pPr>
            <w:r>
              <w:t xml:space="preserve">Up 2</w:t>
            </w:r>
          </w:p>
        </w:tc>
        <w:tc>
          <w:tcPr/>
          <w:p>
            <w:pPr>
              <w:pStyle w:val="Compact"/>
            </w:pPr>
            <w:r>
              <w:t xml:space="preserve">GREEN</w:t>
            </w:r>
          </w:p>
        </w:tc>
      </w:tr>
      <w:tr>
        <w:tc>
          <w:tcPr/>
          <w:p>
            <w:pPr>
              <w:pStyle w:val="Compact"/>
            </w:pPr>
            <w:r>
              <w:t xml:space="preserve">Vendor risk</w:t>
            </w:r>
          </w:p>
        </w:tc>
        <w:tc>
          <w:tcPr/>
          <w:p>
            <w:pPr>
              <w:pStyle w:val="Compact"/>
            </w:pPr>
            <w:r>
              <w:t xml:space="preserve">40%</w:t>
            </w:r>
          </w:p>
        </w:tc>
        <w:tc>
          <w:tcPr/>
          <w:p>
            <w:pPr>
              <w:pStyle w:val="Compact"/>
            </w:pPr>
            <w:r>
              <w:t xml:space="preserve">62</w:t>
            </w:r>
          </w:p>
        </w:tc>
        <w:tc>
          <w:tcPr/>
          <w:p>
            <w:pPr>
              <w:pStyle w:val="Compact"/>
            </w:pPr>
            <w:r>
              <w:t xml:space="preserve">76</w:t>
            </w:r>
          </w:p>
        </w:tc>
        <w:tc>
          <w:tcPr/>
          <w:p>
            <w:pPr>
              <w:pStyle w:val="Compact"/>
            </w:pPr>
            <w:r>
              <w:t xml:space="preserve">Down 14</w:t>
            </w:r>
          </w:p>
        </w:tc>
        <w:tc>
          <w:tcPr/>
          <w:p>
            <w:pPr>
              <w:pStyle w:val="Compact"/>
            </w:pPr>
            <w:r>
              <w:t xml:space="preserve">AMBER</w:t>
            </w:r>
          </w:p>
        </w:tc>
      </w:tr>
      <w:tr>
        <w:tc>
          <w:tcPr/>
          <w:p>
            <w:pPr>
              <w:pStyle w:val="Compact"/>
            </w:pPr>
            <w:r>
              <w:rPr>
                <w:b/>
                <w:bCs/>
              </w:rPr>
              <w:t xml:space="preserve">Composite</w:t>
            </w:r>
          </w:p>
        </w:tc>
        <w:tc>
          <w:tcPr/>
          <w:p>
            <w:pPr>
              <w:pStyle w:val="Compact"/>
            </w:pPr>
            <w:r>
              <w:rPr>
                <w:b/>
                <w:bCs/>
              </w:rPr>
              <w:t xml:space="preserve">100%</w:t>
            </w:r>
          </w:p>
        </w:tc>
        <w:tc>
          <w:tcPr/>
          <w:p>
            <w:pPr>
              <w:pStyle w:val="Compact"/>
            </w:pPr>
            <w:r>
              <w:rPr>
                <w:b/>
                <w:bCs/>
              </w:rPr>
              <w:t xml:space="preserve">68</w:t>
            </w:r>
          </w:p>
        </w:tc>
        <w:tc>
          <w:tcPr/>
          <w:p>
            <w:pPr>
              <w:pStyle w:val="Compact"/>
            </w:pPr>
            <w:r>
              <w:rPr>
                <w:b/>
                <w:bCs/>
              </w:rPr>
              <w:t xml:space="preserve">81</w:t>
            </w:r>
          </w:p>
        </w:tc>
        <w:tc>
          <w:tcPr/>
          <w:p>
            <w:pPr>
              <w:pStyle w:val="Compact"/>
            </w:pPr>
            <w:r>
              <w:rPr>
                <w:b/>
                <w:bCs/>
              </w:rPr>
              <w:t xml:space="preserve">Down 13</w:t>
            </w:r>
          </w:p>
        </w:tc>
        <w:tc>
          <w:tcPr/>
          <w:p>
            <w:pPr>
              <w:pStyle w:val="Compact"/>
            </w:pPr>
            <w:r>
              <w:rPr>
                <w:b/>
                <w:bCs/>
              </w:rPr>
              <w:t xml:space="preserve">AMBER</w:t>
            </w:r>
          </w:p>
        </w:tc>
      </w:tr>
    </w:tbl>
    <w:p>
      <w:pPr>
        <w:pStyle w:val="BodyText"/>
      </w:pPr>
      <w:r>
        <w:t xml:space="preserve">Nothing is RED this quarter. Two things would have been RED had they not been caught inside the quarter: the patent maintenance fee in Section 3.1 and the unassessed vendor in Section 5.3.</w:t>
      </w:r>
    </w:p>
    <w:bookmarkEnd w:id="9"/>
    <w:bookmarkStart w:id="10" w:name="risk-heat-map"/>
    <w:p>
      <w:pPr>
        <w:pStyle w:val="Heading2"/>
      </w:pPr>
      <w:r>
        <w:rPr>
          <w:rStyle w:val="SectionNumber"/>
        </w:rPr>
        <w:t xml:space="preserve">1.2</w:t>
      </w:r>
      <w:r>
        <w:tab/>
      </w:r>
      <w:r>
        <w:t xml:space="preserve">2. Risk Heat Map</w:t>
      </w:r>
    </w:p>
    <w:p>
      <w:pPr>
        <w:pStyle w:val="FirstParagraph"/>
      </w:pPr>
      <w:r>
        <w:t xml:space="preserve">Rows are likelihood, columns are impact. Each cell holds the risk identifiers from Section 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Impact: Low</w:t>
            </w:r>
          </w:p>
        </w:tc>
        <w:tc>
          <w:tcPr/>
          <w:p>
            <w:pPr>
              <w:pStyle w:val="Compact"/>
            </w:pPr>
            <w:r>
              <w:t xml:space="preserve">Impact: Moderate</w:t>
            </w:r>
          </w:p>
        </w:tc>
        <w:tc>
          <w:tcPr/>
          <w:p>
            <w:pPr>
              <w:pStyle w:val="Compact"/>
            </w:pPr>
            <w:r>
              <w:t xml:space="preserve">Impact: High</w:t>
            </w:r>
          </w:p>
        </w:tc>
        <w:tc>
          <w:tcPr/>
          <w:p>
            <w:pPr>
              <w:pStyle w:val="Compact"/>
            </w:pPr>
            <w:r>
              <w:t xml:space="preserve">Impact: Severe</w:t>
            </w:r>
          </w:p>
        </w:tc>
      </w:tr>
      <w:tr>
        <w:tc>
          <w:tcPr/>
          <w:p>
            <w:pPr>
              <w:pStyle w:val="Compact"/>
            </w:pPr>
            <w:r>
              <w:rPr>
                <w:b/>
                <w:bCs/>
              </w:rPr>
              <w:t xml:space="preserve">Likelihood: High</w:t>
            </w:r>
          </w:p>
        </w:tc>
        <w:tc>
          <w:tcPr/>
          <w:p>
            <w:pPr>
              <w:pStyle w:val="Compact"/>
            </w:pPr>
          </w:p>
        </w:tc>
        <w:tc>
          <w:tcPr/>
          <w:p>
            <w:pPr>
              <w:pStyle w:val="Compact"/>
            </w:pPr>
            <w:r>
              <w:t xml:space="preserve">R-06</w:t>
            </w:r>
          </w:p>
        </w:tc>
        <w:tc>
          <w:tcPr/>
          <w:p>
            <w:pPr>
              <w:pStyle w:val="Compact"/>
            </w:pPr>
            <w:r>
              <w:t xml:space="preserve">R-02</w:t>
            </w:r>
          </w:p>
        </w:tc>
        <w:tc>
          <w:tcPr/>
          <w:p>
            <w:pPr>
              <w:pStyle w:val="Compact"/>
            </w:pPr>
          </w:p>
        </w:tc>
      </w:tr>
      <w:tr>
        <w:tc>
          <w:tcPr/>
          <w:p>
            <w:pPr>
              <w:pStyle w:val="Compact"/>
            </w:pPr>
            <w:r>
              <w:rPr>
                <w:b/>
                <w:bCs/>
              </w:rPr>
              <w:t xml:space="preserve">Likelihood: Moderate</w:t>
            </w:r>
          </w:p>
        </w:tc>
        <w:tc>
          <w:tcPr/>
          <w:p>
            <w:pPr>
              <w:pStyle w:val="Compact"/>
            </w:pPr>
            <w:r>
              <w:t xml:space="preserve">R-07</w:t>
            </w:r>
          </w:p>
        </w:tc>
        <w:tc>
          <w:tcPr/>
          <w:p>
            <w:pPr>
              <w:pStyle w:val="Compact"/>
            </w:pPr>
            <w:r>
              <w:t xml:space="preserve">R-05</w:t>
            </w:r>
          </w:p>
        </w:tc>
        <w:tc>
          <w:tcPr/>
          <w:p>
            <w:pPr>
              <w:pStyle w:val="Compact"/>
            </w:pPr>
            <w:r>
              <w:t xml:space="preserve">R-01, R-03</w:t>
            </w:r>
          </w:p>
        </w:tc>
        <w:tc>
          <w:tcPr/>
          <w:p>
            <w:pPr>
              <w:pStyle w:val="Compact"/>
            </w:pPr>
          </w:p>
        </w:tc>
      </w:tr>
      <w:tr>
        <w:tc>
          <w:tcPr/>
          <w:p>
            <w:pPr>
              <w:pStyle w:val="Compact"/>
            </w:pPr>
            <w:r>
              <w:rPr>
                <w:b/>
                <w:bCs/>
              </w:rPr>
              <w:t xml:space="preserve">Likelihood: Low</w:t>
            </w:r>
          </w:p>
        </w:tc>
        <w:tc>
          <w:tcPr/>
          <w:p>
            <w:pPr>
              <w:pStyle w:val="Compact"/>
            </w:pPr>
          </w:p>
        </w:tc>
        <w:tc>
          <w:tcPr/>
          <w:p>
            <w:pPr>
              <w:pStyle w:val="Compact"/>
            </w:pPr>
            <w:r>
              <w:t xml:space="preserve">R-08</w:t>
            </w:r>
          </w:p>
        </w:tc>
        <w:tc>
          <w:tcPr/>
          <w:p>
            <w:pPr>
              <w:pStyle w:val="Compact"/>
            </w:pPr>
          </w:p>
        </w:tc>
        <w:tc>
          <w:tcPr/>
          <w:p>
            <w:pPr>
              <w:pStyle w:val="Compact"/>
            </w:pPr>
            <w:r>
              <w:t xml:space="preserve">R-04</w:t>
            </w:r>
          </w:p>
        </w:tc>
      </w:tr>
      <w:tr>
        <w:tc>
          <w:tcPr/>
          <w:p>
            <w:pPr>
              <w:pStyle w:val="Compact"/>
            </w:pPr>
            <w:r>
              <w:rPr>
                <w:b/>
                <w:bCs/>
              </w:rPr>
              <w:t xml:space="preserve">Likelihood: Remote</w:t>
            </w:r>
          </w:p>
        </w:tc>
        <w:tc>
          <w:tcPr/>
          <w:p>
            <w:pPr>
              <w:pStyle w:val="Compact"/>
            </w:pPr>
          </w:p>
        </w:tc>
        <w:tc>
          <w:tcPr/>
          <w:p>
            <w:pPr>
              <w:pStyle w:val="Compact"/>
            </w:pPr>
          </w:p>
        </w:tc>
        <w:tc>
          <w:tcPr/>
          <w:p>
            <w:pPr>
              <w:pStyle w:val="Compact"/>
            </w:pPr>
          </w:p>
        </w:tc>
        <w:tc>
          <w:tcPr/>
          <w:p>
            <w:pPr>
              <w:pStyle w:val="Compact"/>
            </w:pPr>
          </w:p>
        </w:tc>
      </w:tr>
    </w:tbl>
    <w:bookmarkEnd w:id="10"/>
    <w:bookmarkStart w:id="14" w:name="intellectual-property"/>
    <w:p>
      <w:pPr>
        <w:pStyle w:val="Heading2"/>
      </w:pPr>
      <w:r>
        <w:rPr>
          <w:rStyle w:val="SectionNumber"/>
        </w:rPr>
        <w:t xml:space="preserve">1.3</w:t>
      </w:r>
      <w:r>
        <w:tab/>
      </w:r>
      <w:r>
        <w:t xml:space="preserve">3. Intellectual Property</w:t>
      </w:r>
    </w:p>
    <w:bookmarkStart w:id="11" w:name="the-maintenance-fee-that-was-missed"/>
    <w:p>
      <w:pPr>
        <w:pStyle w:val="Heading3"/>
      </w:pPr>
      <w:r>
        <w:rPr>
          <w:rStyle w:val="SectionNumber"/>
        </w:rPr>
        <w:t xml:space="preserve">1.3.1</w:t>
      </w:r>
      <w:r>
        <w:tab/>
      </w:r>
      <w:r>
        <w:t xml:space="preserve">3.1 The maintenance fee that was missed</w:t>
      </w:r>
    </w:p>
    <w:p>
      <w:pPr>
        <w:pStyle w:val="FirstParagraph"/>
      </w:pPr>
      <w:r>
        <w:t xml:space="preserve">Patent US 11,538,116 B2 carried a first maintenance fee due June 8, 2026. It was not paid. The patent is in the statutory six-month grace period, which ends December 7, 2026, and the fee has been authorized for payment with the late surcharge.</w:t>
      </w:r>
      <w:r>
        <w:t xml:space="preserve"> </w:t>
      </w:r>
      <w:r>
        <w:rPr>
          <w:b/>
          <w:bCs/>
        </w:rPr>
        <w:t xml:space="preserve">The patent is not lost and will not be lost.</w:t>
      </w:r>
      <w:r>
        <w:t xml:space="preserve"> </w:t>
      </w:r>
      <w:r>
        <w:t xml:space="preserve">The direct cost of the miss is a $550 surcharge.</w:t>
      </w:r>
    </w:p>
    <w:p>
      <w:pPr>
        <w:pStyle w:val="BodyText"/>
      </w:pPr>
      <w:r>
        <w:t xml:space="preserve">The committee should be more interested in the cause than the cost. The docket entry named a responsible person who left the company in February 2026, and no backup was named. The monthly docket review report filtered on entries that had an assigned owner, so an entry with no owner was invisible to the control designed to catch it.</w:t>
      </w:r>
      <w:r>
        <w:t xml:space="preserve"> </w:t>
      </w:r>
      <w:r>
        <w:rPr>
          <w:b/>
          <w:bCs/>
        </w:rPr>
        <w:t xml:space="preserve">A monitoring report that excludes unassigned items cannot detect an unassigned item.</w:t>
      </w:r>
      <w:r>
        <w:t xml:space="preserve"> </w:t>
      </w:r>
      <w:r>
        <w:t xml:space="preserve">The filter was corrected on July 1, 2026, a full docket sweep confirmed that all fourteen active entries now carry both a named responsible person and a named backup, and a new metric,</w:t>
      </w:r>
      <w:r>
        <w:t xml:space="preserve"> </w:t>
      </w:r>
      <w:r>
        <w:t xml:space="preserve">“deadlines in grace,”</w:t>
      </w:r>
      <w:r>
        <w:t xml:space="preserve"> </w:t>
      </w:r>
      <w:r>
        <w:t xml:space="preserve">has been added so that this condition is visible on this dashboard rather than discovered.</w:t>
      </w:r>
    </w:p>
    <w:bookmarkEnd w:id="11"/>
    <w:bookmarkStart w:id="12" w:name="docket-position"/>
    <w:p>
      <w:pPr>
        <w:pStyle w:val="Heading3"/>
      </w:pPr>
      <w:r>
        <w:rPr>
          <w:rStyle w:val="SectionNumber"/>
        </w:rPr>
        <w:t xml:space="preserve">1.3.2</w:t>
      </w:r>
      <w:r>
        <w:tab/>
      </w:r>
      <w:r>
        <w:t xml:space="preserve">3.2 Docket position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Q2 2026</w:t>
            </w:r>
          </w:p>
        </w:tc>
        <w:tc>
          <w:tcPr/>
          <w:p>
            <w:pPr>
              <w:pStyle w:val="Compact"/>
            </w:pPr>
            <w:r>
              <w:t xml:space="preserve">Q1 2026</w:t>
            </w:r>
          </w:p>
        </w:tc>
        <w:tc>
          <w:tcPr/>
          <w:p>
            <w:pPr>
              <w:pStyle w:val="Compact"/>
            </w:pPr>
            <w:r>
              <w:t xml:space="preserve">Target</w:t>
            </w:r>
          </w:p>
        </w:tc>
      </w:tr>
      <w:tr>
        <w:tc>
          <w:tcPr/>
          <w:p>
            <w:pPr>
              <w:pStyle w:val="Compact"/>
            </w:pPr>
            <w:r>
              <w:t xml:space="preserve">Active docket entries in the 24-month horizon</w:t>
            </w:r>
          </w:p>
        </w:tc>
        <w:tc>
          <w:tcPr/>
          <w:p>
            <w:pPr>
              <w:pStyle w:val="Compact"/>
            </w:pPr>
            <w:r>
              <w:t xml:space="preserve">14</w:t>
            </w:r>
          </w:p>
        </w:tc>
        <w:tc>
          <w:tcPr/>
          <w:p>
            <w:pPr>
              <w:pStyle w:val="Compact"/>
            </w:pPr>
            <w:r>
              <w:t xml:space="preserve">14</w:t>
            </w:r>
          </w:p>
        </w:tc>
        <w:tc>
          <w:tcPr/>
          <w:p>
            <w:pPr>
              <w:pStyle w:val="Compact"/>
            </w:pPr>
            <w:r>
              <w:t xml:space="preserve">n/a</w:t>
            </w:r>
          </w:p>
        </w:tc>
      </w:tr>
      <w:tr>
        <w:tc>
          <w:tcPr/>
          <w:p>
            <w:pPr>
              <w:pStyle w:val="Compact"/>
            </w:pPr>
            <w:r>
              <w:t xml:space="preserve">Entries with named responsible person and backup</w:t>
            </w:r>
          </w:p>
        </w:tc>
        <w:tc>
          <w:tcPr/>
          <w:p>
            <w:pPr>
              <w:pStyle w:val="Compact"/>
            </w:pPr>
            <w:r>
              <w:t xml:space="preserve">14 of 14</w:t>
            </w:r>
          </w:p>
        </w:tc>
        <w:tc>
          <w:tcPr/>
          <w:p>
            <w:pPr>
              <w:pStyle w:val="Compact"/>
            </w:pPr>
            <w:r>
              <w:t xml:space="preserve">13 of 14</w:t>
            </w:r>
          </w:p>
        </w:tc>
        <w:tc>
          <w:tcPr/>
          <w:p>
            <w:pPr>
              <w:pStyle w:val="Compact"/>
            </w:pPr>
            <w:r>
              <w:t xml:space="preserve">100%</w:t>
            </w:r>
          </w:p>
        </w:tc>
      </w:tr>
      <w:tr>
        <w:tc>
          <w:tcPr/>
          <w:p>
            <w:pPr>
              <w:pStyle w:val="Compact"/>
            </w:pPr>
            <w:r>
              <w:t xml:space="preserve">Statutory deadlines missed</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Deadlines currently in a grace period</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Rights permanently lost</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Deadlines due in the next 90 days</w:t>
            </w:r>
          </w:p>
        </w:tc>
        <w:tc>
          <w:tcPr/>
          <w:p>
            <w:pPr>
              <w:pStyle w:val="Compact"/>
            </w:pPr>
            <w:r>
              <w:t xml:space="preserve">3</w:t>
            </w:r>
          </w:p>
        </w:tc>
        <w:tc>
          <w:tcPr/>
          <w:p>
            <w:pPr>
              <w:pStyle w:val="Compact"/>
            </w:pPr>
            <w:r>
              <w:t xml:space="preserve">5</w:t>
            </w:r>
          </w:p>
        </w:tc>
        <w:tc>
          <w:tcPr/>
          <w:p>
            <w:pPr>
              <w:pStyle w:val="Compact"/>
            </w:pPr>
            <w:r>
              <w:t xml:space="preserve">n/a</w:t>
            </w:r>
          </w:p>
        </w:tc>
      </w:tr>
    </w:tbl>
    <w:p>
      <w:pPr>
        <w:pStyle w:val="BodyText"/>
      </w:pPr>
      <w:r>
        <w:t xml:space="preserve">Two watch items carry into Q3. The copyright registration window for the SignalPost 4.0 release closes August 18, 2026 and the deposit is held up on a trade secret redaction question with engineering; missing it does not lose the copyright but forfeits statutory damages and fee recovery for infringement commencing before registration. The LedgerLine documentation registration has an incomplete chain of title from a 2023 contractor engagement, with a confirmatory assignment requested and not returned.</w:t>
      </w:r>
    </w:p>
    <w:bookmarkEnd w:id="12"/>
    <w:bookmarkStart w:id="13" w:name="invention-disclosures"/>
    <w:p>
      <w:pPr>
        <w:pStyle w:val="Heading3"/>
      </w:pPr>
      <w:r>
        <w:rPr>
          <w:rStyle w:val="SectionNumber"/>
        </w:rPr>
        <w:t xml:space="preserve">1.3.3</w:t>
      </w:r>
      <w:r>
        <w:tab/>
      </w:r>
      <w:r>
        <w:t xml:space="preserve">3.3 Invention disclosures</w:t>
      </w:r>
    </w:p>
    <w:p>
      <w:pPr>
        <w:pStyle w:val="FirstParagraph"/>
      </w:pPr>
      <w:r>
        <w:t xml:space="preserve">Three disclosures were received against a target of six. One is being filed. One will be held as a trade secret with partial defensive publication. One arrived after the company had already lost its foreign rights.</w:t>
      </w:r>
    </w:p>
    <w:p>
      <w:pPr>
        <w:pStyle w:val="BodyText"/>
      </w:pPr>
      <w:r>
        <w:t xml:space="preserve">That last one is the item for this committee. An engineer presented the substance of an invention at a conference on June 11, 2025. Rights in Europe, China, Japan, and every other absolute-novelty jurisdiction were extinguished that day, permanently and irrecoverably, and the US grace period expired twelve months later on the day the disclosure reached the IP Committee. No policy was broken, because there was no policy: nothing sat between deciding to give a talk and giving it. A mandatory pre-disclosure clearance step now exists and is owned by the submitting employee’s manager with a two-business-day review by IP counsel.</w:t>
      </w:r>
    </w:p>
    <w:p>
      <w:pPr>
        <w:pStyle w:val="BodyText"/>
      </w:pPr>
      <w:r>
        <w:t xml:space="preserve">The same disclosure surfaced a second defect. A contributor was an independent contractor whose 2023 statement of work omitted the standard invention assignment exhibit, so on the current record she is a joint owner and could license a competitor without accounting to the company. A confirmatory assignment has been requested. An audit of all 2024 and 2025 contractor statements of work for the same omission reports on August 31, 2026, and the committee should expect that number to be greater than one.</w:t>
      </w:r>
    </w:p>
    <w:bookmarkEnd w:id="13"/>
    <w:bookmarkEnd w:id="14"/>
    <w:bookmarkStart w:id="15" w:name="confidentiality-agreements"/>
    <w:p>
      <w:pPr>
        <w:pStyle w:val="Heading2"/>
      </w:pPr>
      <w:r>
        <w:rPr>
          <w:rStyle w:val="SectionNumber"/>
        </w:rPr>
        <w:t xml:space="preserve">1.4</w:t>
      </w:r>
      <w:r>
        <w:tab/>
      </w:r>
      <w:r>
        <w:t xml:space="preserve">4. Confidentiality Agreements</w:t>
      </w:r>
    </w:p>
    <w:p>
      <w:pPr>
        <w:pStyle w:val="FirstParagraph"/>
      </w:pPr>
      <w:r>
        <w:t xml:space="preserve">The only GREEN program this quarter.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Q2 2026</w:t>
            </w:r>
          </w:p>
        </w:tc>
        <w:tc>
          <w:tcPr/>
          <w:p>
            <w:pPr>
              <w:pStyle w:val="Compact"/>
            </w:pPr>
            <w:r>
              <w:t xml:space="preserve">Q1 2026</w:t>
            </w:r>
          </w:p>
        </w:tc>
        <w:tc>
          <w:tcPr/>
          <w:p>
            <w:pPr>
              <w:pStyle w:val="Compact"/>
            </w:pPr>
            <w:r>
              <w:t xml:space="preserve">Target</w:t>
            </w:r>
          </w:p>
        </w:tc>
      </w:tr>
      <w:tr>
        <w:tc>
          <w:tcPr/>
          <w:p>
            <w:pPr>
              <w:pStyle w:val="Compact"/>
            </w:pPr>
            <w:r>
              <w:t xml:space="preserve">Agreements executed</w:t>
            </w:r>
          </w:p>
        </w:tc>
        <w:tc>
          <w:tcPr/>
          <w:p>
            <w:pPr>
              <w:pStyle w:val="Compact"/>
            </w:pPr>
            <w:r>
              <w:t xml:space="preserve">41</w:t>
            </w:r>
          </w:p>
        </w:tc>
        <w:tc>
          <w:tcPr/>
          <w:p>
            <w:pPr>
              <w:pStyle w:val="Compact"/>
            </w:pPr>
            <w:r>
              <w:t xml:space="preserve">37</w:t>
            </w:r>
          </w:p>
        </w:tc>
        <w:tc>
          <w:tcPr/>
          <w:p>
            <w:pPr>
              <w:pStyle w:val="Compact"/>
            </w:pPr>
            <w:r>
              <w:t xml:space="preserve">n/a</w:t>
            </w:r>
          </w:p>
        </w:tc>
      </w:tr>
      <w:tr>
        <w:tc>
          <w:tcPr/>
          <w:p>
            <w:pPr>
              <w:pStyle w:val="Compact"/>
            </w:pPr>
            <w:r>
              <w:t xml:space="preserve">Executed on the standard form with no deviation or a pre-approved variation</w:t>
            </w:r>
          </w:p>
        </w:tc>
        <w:tc>
          <w:tcPr/>
          <w:p>
            <w:pPr>
              <w:pStyle w:val="Compact"/>
            </w:pPr>
            <w:r>
              <w:t xml:space="preserve">31 (76%)</w:t>
            </w:r>
          </w:p>
        </w:tc>
        <w:tc>
          <w:tcPr/>
          <w:p>
            <w:pPr>
              <w:pStyle w:val="Compact"/>
            </w:pPr>
            <w:r>
              <w:t xml:space="preserve">27 (73%)</w:t>
            </w:r>
          </w:p>
        </w:tc>
        <w:tc>
          <w:tcPr/>
          <w:p>
            <w:pPr>
              <w:pStyle w:val="Compact"/>
            </w:pPr>
            <w:r>
              <w:t xml:space="preserve">n/a</w:t>
            </w:r>
          </w:p>
        </w:tc>
      </w:tr>
      <w:tr>
        <w:tc>
          <w:tcPr/>
          <w:p>
            <w:pPr>
              <w:pStyle w:val="Compact"/>
            </w:pPr>
            <w:r>
              <w:t xml:space="preserve">Deviation rate</w:t>
            </w:r>
          </w:p>
        </w:tc>
        <w:tc>
          <w:tcPr/>
          <w:p>
            <w:pPr>
              <w:pStyle w:val="Compact"/>
            </w:pPr>
            <w:r>
              <w:t xml:space="preserve">24%</w:t>
            </w:r>
          </w:p>
        </w:tc>
        <w:tc>
          <w:tcPr/>
          <w:p>
            <w:pPr>
              <w:pStyle w:val="Compact"/>
            </w:pPr>
            <w:r>
              <w:t xml:space="preserve">27%</w:t>
            </w:r>
          </w:p>
        </w:tc>
        <w:tc>
          <w:tcPr/>
          <w:p>
            <w:pPr>
              <w:pStyle w:val="Compact"/>
            </w:pPr>
            <w:r>
              <w:t xml:space="preserve">Below 35%</w:t>
            </w:r>
          </w:p>
        </w:tc>
      </w:tr>
      <w:tr>
        <w:tc>
          <w:tcPr/>
          <w:p>
            <w:pPr>
              <w:pStyle w:val="Compact"/>
            </w:pPr>
            <w:r>
              <w:t xml:space="preserve">Median cycle time, standard form</w:t>
            </w:r>
          </w:p>
        </w:tc>
        <w:tc>
          <w:tcPr/>
          <w:p>
            <w:pPr>
              <w:pStyle w:val="Compact"/>
            </w:pPr>
            <w:r>
              <w:t xml:space="preserve">2 business days</w:t>
            </w:r>
          </w:p>
        </w:tc>
        <w:tc>
          <w:tcPr/>
          <w:p>
            <w:pPr>
              <w:pStyle w:val="Compact"/>
            </w:pPr>
            <w:r>
              <w:t xml:space="preserve">3 business days</w:t>
            </w:r>
          </w:p>
        </w:tc>
        <w:tc>
          <w:tcPr/>
          <w:p>
            <w:pPr>
              <w:pStyle w:val="Compact"/>
            </w:pPr>
            <w:r>
              <w:t xml:space="preserve">3 business days</w:t>
            </w:r>
          </w:p>
        </w:tc>
      </w:tr>
      <w:tr>
        <w:tc>
          <w:tcPr/>
          <w:p>
            <w:pPr>
              <w:pStyle w:val="Compact"/>
            </w:pPr>
            <w:r>
              <w:t xml:space="preserve">Agreements signed outside the authority matrix</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Deal-breaker escalations</w:t>
            </w:r>
          </w:p>
        </w:tc>
        <w:tc>
          <w:tcPr/>
          <w:p>
            <w:pPr>
              <w:pStyle w:val="Compact"/>
            </w:pPr>
            <w:r>
              <w:t xml:space="preserve">1</w:t>
            </w:r>
          </w:p>
        </w:tc>
        <w:tc>
          <w:tcPr/>
          <w:p>
            <w:pPr>
              <w:pStyle w:val="Compact"/>
            </w:pPr>
            <w:r>
              <w:t xml:space="preserve">0</w:t>
            </w:r>
          </w:p>
        </w:tc>
        <w:tc>
          <w:tcPr/>
          <w:p>
            <w:pPr>
              <w:pStyle w:val="Compact"/>
            </w:pPr>
            <w:r>
              <w:t xml:space="preserve">n/a</w:t>
            </w:r>
          </w:p>
        </w:tc>
      </w:tr>
      <w:tr>
        <w:tc>
          <w:tcPr/>
          <w:p>
            <w:pPr>
              <w:pStyle w:val="Compact"/>
            </w:pPr>
            <w:r>
              <w:t xml:space="preserve">D4 exceptions granted</w:t>
            </w:r>
          </w:p>
        </w:tc>
        <w:tc>
          <w:tcPr/>
          <w:p>
            <w:pPr>
              <w:pStyle w:val="Compact"/>
            </w:pPr>
            <w:r>
              <w:t xml:space="preserve">0</w:t>
            </w:r>
          </w:p>
        </w:tc>
        <w:tc>
          <w:tcPr/>
          <w:p>
            <w:pPr>
              <w:pStyle w:val="Compact"/>
            </w:pPr>
            <w:r>
              <w:t xml:space="preserve">0</w:t>
            </w:r>
          </w:p>
        </w:tc>
        <w:tc>
          <w:tcPr/>
          <w:p>
            <w:pPr>
              <w:pStyle w:val="Compact"/>
            </w:pPr>
            <w:r>
              <w:t xml:space="preserve">n/a</w:t>
            </w:r>
          </w:p>
        </w:tc>
      </w:tr>
    </w:tbl>
    <w:p>
      <w:pPr>
        <w:pStyle w:val="BodyText"/>
      </w:pPr>
      <w:r>
        <w:rPr>
          <w:b/>
          <w:bCs/>
        </w:rPr>
        <w:t xml:space="preserve">One deal-breaker escalation is open.</w:t>
      </w:r>
      <w:r>
        <w:t xml:space="preserve"> </w:t>
      </w:r>
      <w:r>
        <w:t xml:space="preserve">A prospective technology partner requires liquidated damages of $50,000 per breach, with each disclosure to each recipient counting as a separate breach. That multiplier, not the headline figure, is the exposure: a single misdirected email to a forty-person list would on its face be $2,000,000. No exception will be granted. Three alternative structures have been offered that address the counterparty’s underlying concern, which is a legitimate fear of a larger company evaluating and then reimplementing its technology. The evaluation is on hold and the platform team has been instructed that it may not proceed informally.</w:t>
      </w:r>
    </w:p>
    <w:p>
      <w:pPr>
        <w:pStyle w:val="BodyText"/>
      </w:pPr>
      <w:r>
        <w:t xml:space="preserve">Two structural recommendations come out of the quarter’s negotiations, both aimed at cycle time rather than risk. Pre-clear a standard security attestation questionnaire so that enterprise audit-rights demands settle at D2 rather than escalating to the General Counsel each time. And move the bounded residual-knowledge clause from a General Counsel approval to a pre-approved D2 fallback, because four mid-size counterparties in twelve months have opened with an unbounded residuals clause and all four accepted the bounded version verbatim once offered.</w:t>
      </w:r>
    </w:p>
    <w:bookmarkEnd w:id="15"/>
    <w:bookmarkStart w:id="20" w:name="vendor-risk"/>
    <w:p>
      <w:pPr>
        <w:pStyle w:val="Heading2"/>
      </w:pPr>
      <w:r>
        <w:rPr>
          <w:rStyle w:val="SectionNumber"/>
        </w:rPr>
        <w:t xml:space="preserve">1.5</w:t>
      </w:r>
      <w:r>
        <w:tab/>
      </w:r>
      <w:r>
        <w:t xml:space="preserve">5. Vendor Risk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Q2 2026</w:t>
            </w:r>
          </w:p>
        </w:tc>
        <w:tc>
          <w:tcPr/>
          <w:p>
            <w:pPr>
              <w:pStyle w:val="Compact"/>
            </w:pPr>
            <w:r>
              <w:t xml:space="preserve">Q1 2026</w:t>
            </w:r>
          </w:p>
        </w:tc>
        <w:tc>
          <w:tcPr/>
          <w:p>
            <w:pPr>
              <w:pStyle w:val="Compact"/>
            </w:pPr>
            <w:r>
              <w:t xml:space="preserve">Target</w:t>
            </w:r>
          </w:p>
        </w:tc>
      </w:tr>
      <w:tr>
        <w:tc>
          <w:tcPr/>
          <w:p>
            <w:pPr>
              <w:pStyle w:val="Compact"/>
            </w:pPr>
            <w:r>
              <w:t xml:space="preserve">Active vendors in the register</w:t>
            </w:r>
          </w:p>
        </w:tc>
        <w:tc>
          <w:tcPr/>
          <w:p>
            <w:pPr>
              <w:pStyle w:val="Compact"/>
            </w:pPr>
            <w:r>
              <w:t xml:space="preserve">8</w:t>
            </w:r>
          </w:p>
        </w:tc>
        <w:tc>
          <w:tcPr/>
          <w:p>
            <w:pPr>
              <w:pStyle w:val="Compact"/>
            </w:pPr>
            <w:r>
              <w:t xml:space="preserve">7</w:t>
            </w:r>
          </w:p>
        </w:tc>
        <w:tc>
          <w:tcPr/>
          <w:p>
            <w:pPr>
              <w:pStyle w:val="Compact"/>
            </w:pPr>
            <w:r>
              <w:t xml:space="preserve">n/a</w:t>
            </w:r>
          </w:p>
        </w:tc>
      </w:tr>
      <w:tr>
        <w:tc>
          <w:tcPr/>
          <w:p>
            <w:pPr>
              <w:pStyle w:val="Compact"/>
            </w:pPr>
            <w:r>
              <w:t xml:space="preserve">Assessment coverage at required cadence</w:t>
            </w:r>
          </w:p>
        </w:tc>
        <w:tc>
          <w:tcPr/>
          <w:p>
            <w:pPr>
              <w:pStyle w:val="Compact"/>
            </w:pPr>
            <w:r>
              <w:t xml:space="preserve">7 of 8 (88%)</w:t>
            </w:r>
          </w:p>
        </w:tc>
        <w:tc>
          <w:tcPr/>
          <w:p>
            <w:pPr>
              <w:pStyle w:val="Compact"/>
            </w:pPr>
            <w:r>
              <w:t xml:space="preserve">7 of 7 (100%)</w:t>
            </w:r>
          </w:p>
        </w:tc>
        <w:tc>
          <w:tcPr/>
          <w:p>
            <w:pPr>
              <w:pStyle w:val="Compact"/>
            </w:pPr>
            <w:r>
              <w:t xml:space="preserve">100%</w:t>
            </w:r>
          </w:p>
        </w:tc>
      </w:tr>
      <w:tr>
        <w:tc>
          <w:tcPr/>
          <w:p>
            <w:pPr>
              <w:pStyle w:val="Compact"/>
            </w:pPr>
            <w:r>
              <w:t xml:space="preserve">Assessments completed in the quarter</w:t>
            </w:r>
          </w:p>
        </w:tc>
        <w:tc>
          <w:tcPr/>
          <w:p>
            <w:pPr>
              <w:pStyle w:val="Compact"/>
            </w:pPr>
            <w:r>
              <w:t xml:space="preserve">3</w:t>
            </w:r>
          </w:p>
        </w:tc>
        <w:tc>
          <w:tcPr/>
          <w:p>
            <w:pPr>
              <w:pStyle w:val="Compact"/>
            </w:pPr>
            <w:r>
              <w:t xml:space="preserve">1</w:t>
            </w:r>
          </w:p>
        </w:tc>
        <w:tc>
          <w:tcPr/>
          <w:p>
            <w:pPr>
              <w:pStyle w:val="Compact"/>
            </w:pPr>
            <w:r>
              <w:t xml:space="preserve">n/a</w:t>
            </w:r>
          </w:p>
        </w:tc>
      </w:tr>
      <w:tr>
        <w:tc>
          <w:tcPr/>
          <w:p>
            <w:pPr>
              <w:pStyle w:val="Compact"/>
            </w:pPr>
            <w:r>
              <w:t xml:space="preserve">Vendors at CRITICAL</w:t>
            </w:r>
          </w:p>
        </w:tc>
        <w:tc>
          <w:tcPr/>
          <w:p>
            <w:pPr>
              <w:pStyle w:val="Compact"/>
            </w:pPr>
            <w:r>
              <w:t xml:space="preserve">2</w:t>
            </w:r>
          </w:p>
        </w:tc>
        <w:tc>
          <w:tcPr/>
          <w:p>
            <w:pPr>
              <w:pStyle w:val="Compact"/>
            </w:pPr>
            <w:r>
              <w:t xml:space="preserve">0</w:t>
            </w:r>
          </w:p>
        </w:tc>
        <w:tc>
          <w:tcPr/>
          <w:p>
            <w:pPr>
              <w:pStyle w:val="Compact"/>
            </w:pPr>
            <w:r>
              <w:t xml:space="preserve">n/a</w:t>
            </w:r>
          </w:p>
        </w:tc>
      </w:tr>
      <w:tr>
        <w:tc>
          <w:tcPr/>
          <w:p>
            <w:pPr>
              <w:pStyle w:val="Compact"/>
            </w:pPr>
            <w:r>
              <w:t xml:space="preserve">Conditionally approved vendors with an overdue condition</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Vendors in production without a completed assessment</w:t>
            </w:r>
          </w:p>
        </w:tc>
        <w:tc>
          <w:tcPr/>
          <w:p>
            <w:pPr>
              <w:pStyle w:val="Compact"/>
            </w:pPr>
            <w:r>
              <w:t xml:space="preserve">0 at quarter end, 1 during the quarter</w:t>
            </w:r>
          </w:p>
        </w:tc>
        <w:tc>
          <w:tcPr/>
          <w:p>
            <w:pPr>
              <w:pStyle w:val="Compact"/>
            </w:pPr>
            <w:r>
              <w:t xml:space="preserve">0</w:t>
            </w:r>
          </w:p>
        </w:tc>
        <w:tc>
          <w:tcPr/>
          <w:p>
            <w:pPr>
              <w:pStyle w:val="Compact"/>
            </w:pPr>
            <w:r>
              <w:t xml:space="preserve">0</w:t>
            </w:r>
          </w:p>
        </w:tc>
      </w:tr>
    </w:tbl>
    <w:bookmarkStart w:id="16" w:name="X0df97e3f9d385a294b44829ca936eae6073455b"/>
    <w:p>
      <w:pPr>
        <w:pStyle w:val="Heading3"/>
      </w:pPr>
      <w:r>
        <w:rPr>
          <w:rStyle w:val="SectionNumber"/>
        </w:rPr>
        <w:t xml:space="preserve">1.5.1</w:t>
      </w:r>
      <w:r>
        <w:tab/>
      </w:r>
      <w:r>
        <w:t xml:space="preserve">5.1 TalentForce HR Platform: CRITICAL, conditionally approved</w:t>
      </w:r>
    </w:p>
    <w:p>
      <w:pPr>
        <w:pStyle w:val="FirstParagraph"/>
      </w:pPr>
      <w:r>
        <w:t xml:space="preserve">The company’s HR and payroll system of record moved from HIGH to CRITICAL. Three changes drove it. The vendor added an offshore support center with production access to special category data and gave notice fifteen days after that access went live, so the company’s contractual objection right was not exercisable when it mattered. The vendor released AI features trained on customer data with the opt-out defaulted to off, and the company’s tenant ran with them enabled for forty-three days. And this assessment brought the employee relations module into scope for the first time, which means investigation records that may be privileged sit in a general-purpose HR system accessible to vendor support.</w:t>
      </w:r>
    </w:p>
    <w:p>
      <w:pPr>
        <w:pStyle w:val="BodyText"/>
      </w:pPr>
      <w:r>
        <w:t xml:space="preserve">The vendor remains in production. The committee is entitled to know why a CRITICAL system of record is not switched off, and the answer is that payroll cannot be suspended while conditions are negotiated, and an abrupt exit would create a worse legal exposure than the one being managed. What conditional approval means here is a dated plan with named owners and a stated consequence. Three conditions carry a contractual notice consequence if missed: a completed transfer impact assessment by August 14, an officer-signed statement on whether company data entered a training set by July 31, and a contract amendment fixing breach notification at forty-eight hours and raising the incident liability cap by September 11. Missing any of the three obliges the company to serve a notice of material concern, open an alternatives evaluation, and return to this committee out of cycle.</w:t>
      </w:r>
    </w:p>
    <w:p>
      <w:pPr>
        <w:pStyle w:val="BodyText"/>
      </w:pPr>
      <w:r>
        <w:rPr>
          <w:b/>
          <w:bCs/>
        </w:rPr>
        <w:t xml:space="preserve">A dissent is recorded and the committee should see it.</w:t>
      </w:r>
      <w:r>
        <w:t xml:space="preserve"> </w:t>
      </w:r>
      <w:r>
        <w:t xml:space="preserve">The Data Protection Officer’s position is that a transfer of special category data to a subprocessor without a completed transfer impact assessment should stop the transfer rather than generate a condition due in August. The General Counsel accepts that the position is well founded and rests the contrary decision on the absence of any means to suspend the transfer without suspending payroll support.</w:t>
      </w:r>
    </w:p>
    <w:bookmarkEnd w:id="16"/>
    <w:bookmarkStart w:id="17" w:name="datapulse-analytics-low-approved"/>
    <w:p>
      <w:pPr>
        <w:pStyle w:val="Heading3"/>
      </w:pPr>
      <w:r>
        <w:rPr>
          <w:rStyle w:val="SectionNumber"/>
        </w:rPr>
        <w:t xml:space="preserve">1.5.2</w:t>
      </w:r>
      <w:r>
        <w:tab/>
      </w:r>
      <w:r>
        <w:t xml:space="preserve">5.2 DataPulse Analytics: LOW, approved</w:t>
      </w:r>
    </w:p>
    <w:p>
      <w:pPr>
        <w:pStyle w:val="FirstParagraph"/>
      </w:pPr>
      <w:r>
        <w:t xml:space="preserve">Aggregated, pseudonymized telemetry only. No personal data, no credentials into company systems, an unqualified SOC 2 Type II covering confidentiality, and a contractual prohibition on training any model on company data. Approved with no mandatory conditions and two advisory recommendations. Reassessment in twenty-four months.</w:t>
      </w:r>
    </w:p>
    <w:bookmarkEnd w:id="17"/>
    <w:bookmarkStart w:id="18" w:name="X955caf5105c91c05f53bc1641e6055838a281ad"/>
    <w:p>
      <w:pPr>
        <w:pStyle w:val="Heading3"/>
      </w:pPr>
      <w:r>
        <w:rPr>
          <w:rStyle w:val="SectionNumber"/>
        </w:rPr>
        <w:t xml:space="preserve">1.5.3</w:t>
      </w:r>
      <w:r>
        <w:tab/>
      </w:r>
      <w:r>
        <w:t xml:space="preserve">5.3 GlobalComms Translation Service: CRITICAL, do not approve</w:t>
      </w:r>
    </w:p>
    <w:p>
      <w:pPr>
        <w:pStyle w:val="FirstParagraph"/>
      </w:pPr>
      <w:r>
        <w:t xml:space="preserve">A translation vendor was engaged by the Litigation team in November 2025 without a vendor risk assessment, paid on a departmental purchasing card in three amounts each below the procurement review threshold, and never entered in the register. It surfaced in a routine card spend review on May 22, 2026.</w:t>
      </w:r>
    </w:p>
    <w:p>
      <w:pPr>
        <w:pStyle w:val="BodyText"/>
      </w:pPr>
      <w:r>
        <w:t xml:space="preserve">The vendor fails all four mandatory controls for handling privileged material. Most consequentially, every document submitted to it is pre-processed through a third-party machine translation service the company has no relationship with, and the vendor’s own terms grant it a perpetual licence to use submitted content to improve its products. Material sent across three matters included an outside counsel memorandum and a collection of approximately 2,100 discovery documents that was not privilege-screened before transmission.</w:t>
      </w:r>
    </w:p>
    <w:p>
      <w:pPr>
        <w:pStyle w:val="BodyText"/>
      </w:pPr>
      <w:r>
        <w:t xml:space="preserve">Use ceased on June 25, 2026. A demand for return and certified deletion has been served. Outside counsel is reconstructing a complete inventory and will advise, per matter, whether disclosure to opposing parties or the court is required and whether existing clawback provisions or protective orders cover the disclosure. The professional liability insurer was notified as a circumstance on July 8, 2026. The purchasing card control has been changed to block professional services merchant categories, and the policy is being amended so that any engagement involving company documents requires a register entry regardless of amount.</w:t>
      </w:r>
    </w:p>
    <w:p>
      <w:pPr>
        <w:pStyle w:val="BodyText"/>
      </w:pPr>
      <w:r>
        <w:rPr>
          <w:b/>
          <w:bCs/>
        </w:rPr>
        <w:t xml:space="preserve">The control that failed was the procurement threshold.</w:t>
      </w:r>
      <w:r>
        <w:t xml:space="preserve"> </w:t>
      </w:r>
      <w:r>
        <w:t xml:space="preserve">A threshold that can be defeated by splitting an engagement into three payments is not a control, and the committee should expect a broader look at threshold-based controls in the Q3 report.</w:t>
      </w:r>
    </w:p>
    <w:bookmarkEnd w:id="18"/>
    <w:bookmarkStart w:id="19" w:name="the-coverage-miss"/>
    <w:p>
      <w:pPr>
        <w:pStyle w:val="Heading3"/>
      </w:pPr>
      <w:r>
        <w:rPr>
          <w:rStyle w:val="SectionNumber"/>
        </w:rPr>
        <w:t xml:space="preserve">1.5.4</w:t>
      </w:r>
      <w:r>
        <w:tab/>
      </w:r>
      <w:r>
        <w:t xml:space="preserve">5.4 The coverage miss</w:t>
      </w:r>
    </w:p>
    <w:p>
      <w:pPr>
        <w:pStyle w:val="FirstParagraph"/>
      </w:pPr>
      <w:r>
        <w:t xml:space="preserve">One vendor, an office supplies supplier at LOW tier, has a reassessment that came due June 30, 2026 and was not started. Data sensitivity is minimal and there is no exposure. It is reported because the metric is 100 percent and this quarter it was 88 percent, and a coverage metric that is quietly rounded up stops being useful.</w:t>
      </w:r>
    </w:p>
    <w:bookmarkEnd w:id="19"/>
    <w:bookmarkEnd w:id="20"/>
    <w:bookmarkStart w:id="21" w:name="financial-summary"/>
    <w:p>
      <w:pPr>
        <w:pStyle w:val="Heading2"/>
      </w:pPr>
      <w:r>
        <w:rPr>
          <w:rStyle w:val="SectionNumber"/>
        </w:rPr>
        <w:t xml:space="preserve">1.6</w:t>
      </w:r>
      <w:r>
        <w:tab/>
      </w:r>
      <w:r>
        <w:t xml:space="preserve">6. Financial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Q2 2026</w:t>
            </w:r>
          </w:p>
        </w:tc>
        <w:tc>
          <w:tcPr/>
          <w:p>
            <w:pPr>
              <w:pStyle w:val="Compact"/>
            </w:pPr>
            <w:r>
              <w:t xml:space="preserve">Full year 2026 budget</w:t>
            </w:r>
          </w:p>
        </w:tc>
        <w:tc>
          <w:tcPr/>
          <w:p>
            <w:pPr>
              <w:pStyle w:val="Compact"/>
            </w:pPr>
            <w:r>
              <w:t xml:space="preserve">Full year forecast</w:t>
            </w:r>
          </w:p>
        </w:tc>
      </w:tr>
      <w:tr>
        <w:tc>
          <w:tcPr/>
          <w:p>
            <w:pPr>
              <w:pStyle w:val="Compact"/>
            </w:pPr>
            <w:r>
              <w:t xml:space="preserve">IP prosecution and maintenance, outside counsel</w:t>
            </w:r>
          </w:p>
        </w:tc>
        <w:tc>
          <w:tcPr/>
          <w:p>
            <w:pPr>
              <w:pStyle w:val="Compact"/>
            </w:pPr>
            <w:r>
              <w:t xml:space="preserve">$61,200</w:t>
            </w:r>
          </w:p>
        </w:tc>
        <w:tc>
          <w:tcPr/>
          <w:p>
            <w:pPr>
              <w:pStyle w:val="Compact"/>
            </w:pPr>
            <w:r>
              <w:t xml:space="preserve">$290,000</w:t>
            </w:r>
          </w:p>
        </w:tc>
        <w:tc>
          <w:tcPr/>
          <w:p>
            <w:pPr>
              <w:pStyle w:val="Compact"/>
            </w:pPr>
            <w:r>
              <w:t xml:space="preserve">$302,000</w:t>
            </w:r>
          </w:p>
        </w:tc>
      </w:tr>
      <w:tr>
        <w:tc>
          <w:tcPr/>
          <w:p>
            <w:pPr>
              <w:pStyle w:val="Compact"/>
            </w:pPr>
            <w:r>
              <w:t xml:space="preserve">IP official fees</w:t>
            </w:r>
          </w:p>
        </w:tc>
        <w:tc>
          <w:tcPr/>
          <w:p>
            <w:pPr>
              <w:pStyle w:val="Compact"/>
            </w:pPr>
            <w:r>
              <w:t xml:space="preserve">$14,880</w:t>
            </w:r>
          </w:p>
        </w:tc>
        <w:tc>
          <w:tcPr/>
          <w:p>
            <w:pPr>
              <w:pStyle w:val="Compact"/>
            </w:pPr>
            <w:r>
              <w:t xml:space="preserve">$71,000</w:t>
            </w:r>
          </w:p>
        </w:tc>
        <w:tc>
          <w:tcPr/>
          <w:p>
            <w:pPr>
              <w:pStyle w:val="Compact"/>
            </w:pPr>
            <w:r>
              <w:t xml:space="preserve">$71,550</w:t>
            </w:r>
          </w:p>
        </w:tc>
      </w:tr>
      <w:tr>
        <w:tc>
          <w:tcPr/>
          <w:p>
            <w:pPr>
              <w:pStyle w:val="Compact"/>
            </w:pPr>
            <w:r>
              <w:t xml:space="preserve">Late fee surcharges</w:t>
            </w:r>
          </w:p>
        </w:tc>
        <w:tc>
          <w:tcPr/>
          <w:p>
            <w:pPr>
              <w:pStyle w:val="Compact"/>
            </w:pPr>
            <w:r>
              <w:t xml:space="preserve">$550</w:t>
            </w:r>
          </w:p>
        </w:tc>
        <w:tc>
          <w:tcPr/>
          <w:p>
            <w:pPr>
              <w:pStyle w:val="Compact"/>
            </w:pPr>
            <w:r>
              <w:t xml:space="preserve">$0</w:t>
            </w:r>
          </w:p>
        </w:tc>
        <w:tc>
          <w:tcPr/>
          <w:p>
            <w:pPr>
              <w:pStyle w:val="Compact"/>
            </w:pPr>
            <w:r>
              <w:t xml:space="preserve">$550</w:t>
            </w:r>
          </w:p>
        </w:tc>
      </w:tr>
      <w:tr>
        <w:tc>
          <w:tcPr/>
          <w:p>
            <w:pPr>
              <w:pStyle w:val="Compact"/>
            </w:pPr>
            <w:r>
              <w:t xml:space="preserve">Vendor assessment program</w:t>
            </w:r>
          </w:p>
        </w:tc>
        <w:tc>
          <w:tcPr/>
          <w:p>
            <w:pPr>
              <w:pStyle w:val="Compact"/>
            </w:pPr>
            <w:r>
              <w:t xml:space="preserve">$38,400</w:t>
            </w:r>
          </w:p>
        </w:tc>
        <w:tc>
          <w:tcPr/>
          <w:p>
            <w:pPr>
              <w:pStyle w:val="Compact"/>
            </w:pPr>
            <w:r>
              <w:t xml:space="preserve">$160,000</w:t>
            </w:r>
          </w:p>
        </w:tc>
        <w:tc>
          <w:tcPr/>
          <w:p>
            <w:pPr>
              <w:pStyle w:val="Compact"/>
            </w:pPr>
            <w:r>
              <w:t xml:space="preserve">$172,000</w:t>
            </w:r>
          </w:p>
        </w:tc>
      </w:tr>
      <w:tr>
        <w:tc>
          <w:tcPr/>
          <w:p>
            <w:pPr>
              <w:pStyle w:val="Compact"/>
            </w:pPr>
            <w:r>
              <w:t xml:space="preserve">GlobalComms remediation, outside counsel</w:t>
            </w:r>
          </w:p>
        </w:tc>
        <w:tc>
          <w:tcPr/>
          <w:p>
            <w:pPr>
              <w:pStyle w:val="Compact"/>
            </w:pPr>
            <w:r>
              <w:t xml:space="preserve">$22,000</w:t>
            </w:r>
          </w:p>
        </w:tc>
        <w:tc>
          <w:tcPr/>
          <w:p>
            <w:pPr>
              <w:pStyle w:val="Compact"/>
            </w:pPr>
            <w:r>
              <w:t xml:space="preserve">$0</w:t>
            </w:r>
          </w:p>
        </w:tc>
        <w:tc>
          <w:tcPr/>
          <w:p>
            <w:pPr>
              <w:pStyle w:val="Compact"/>
            </w:pPr>
            <w:r>
              <w:t xml:space="preserve">$95,000 estimated</w:t>
            </w:r>
          </w:p>
        </w:tc>
      </w:tr>
      <w:tr>
        <w:tc>
          <w:tcPr/>
          <w:p>
            <w:pPr>
              <w:pStyle w:val="Compact"/>
            </w:pPr>
            <w:r>
              <w:rPr>
                <w:b/>
                <w:bCs/>
              </w:rPr>
              <w:t xml:space="preserve">Total</w:t>
            </w:r>
          </w:p>
        </w:tc>
        <w:tc>
          <w:tcPr/>
          <w:p>
            <w:pPr>
              <w:pStyle w:val="Compact"/>
            </w:pPr>
            <w:r>
              <w:rPr>
                <w:b/>
                <w:bCs/>
              </w:rPr>
              <w:t xml:space="preserve">$137,030</w:t>
            </w:r>
          </w:p>
        </w:tc>
        <w:tc>
          <w:tcPr/>
          <w:p>
            <w:pPr>
              <w:pStyle w:val="Compact"/>
            </w:pPr>
            <w:r>
              <w:rPr>
                <w:b/>
                <w:bCs/>
              </w:rPr>
              <w:t xml:space="preserve">$521,000</w:t>
            </w:r>
          </w:p>
        </w:tc>
        <w:tc>
          <w:tcPr/>
          <w:p>
            <w:pPr>
              <w:pStyle w:val="Compact"/>
            </w:pPr>
            <w:r>
              <w:rPr>
                <w:b/>
                <w:bCs/>
              </w:rPr>
              <w:t xml:space="preserve">$641,100</w:t>
            </w:r>
          </w:p>
        </w:tc>
      </w:tr>
    </w:tbl>
    <w:p>
      <w:pPr>
        <w:pStyle w:val="BodyText"/>
      </w:pPr>
      <w:r>
        <w:t xml:space="preserve">The forecast exceeds budget by $120,100, of which $95,000 is the GlobalComms remediation and $12,000 is the historical data export from TalentForce required by Condition C-6. Neither was foreseeable at budget. Both are being funded from the Legal contingency.</w:t>
      </w:r>
    </w:p>
    <w:bookmarkEnd w:id="21"/>
    <w:bookmarkStart w:id="22" w:name="risk-register-top-eight"/>
    <w:p>
      <w:pPr>
        <w:pStyle w:val="Heading2"/>
      </w:pPr>
      <w:r>
        <w:rPr>
          <w:rStyle w:val="SectionNumber"/>
        </w:rPr>
        <w:t xml:space="preserve">1.7</w:t>
      </w:r>
      <w:r>
        <w:tab/>
      </w:r>
      <w:r>
        <w:t xml:space="preserve">7. Risk Register: Top Eight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Movement</w:t>
            </w:r>
          </w:p>
        </w:tc>
        <w:tc>
          <w:tcPr/>
          <w:p>
            <w:pPr>
              <w:pStyle w:val="Compact"/>
            </w:pPr>
            <w:r>
              <w:t xml:space="preserve">Owner</w:t>
            </w:r>
          </w:p>
        </w:tc>
        <w:tc>
          <w:tcPr/>
          <w:p>
            <w:pPr>
              <w:pStyle w:val="Compact"/>
            </w:pPr>
            <w:r>
              <w:t xml:space="preserve">Mitigation</w:t>
            </w:r>
          </w:p>
        </w:tc>
      </w:tr>
      <w:tr>
        <w:tc>
          <w:tcPr/>
          <w:p>
            <w:pPr>
              <w:pStyle w:val="Compact"/>
            </w:pPr>
            <w:r>
              <w:t xml:space="preserve">R-01</w:t>
            </w:r>
          </w:p>
        </w:tc>
        <w:tc>
          <w:tcPr/>
          <w:p>
            <w:pPr>
              <w:pStyle w:val="Compact"/>
            </w:pPr>
            <w:r>
              <w:t xml:space="preserve">Privilege waiver in one or more active matters arising from the GlobalComms disclosure</w:t>
            </w:r>
          </w:p>
        </w:tc>
        <w:tc>
          <w:tcPr/>
          <w:p>
            <w:pPr>
              <w:pStyle w:val="Compact"/>
            </w:pPr>
            <w:r>
              <w:t xml:space="preserve">Moderate</w:t>
            </w:r>
          </w:p>
        </w:tc>
        <w:tc>
          <w:tcPr/>
          <w:p>
            <w:pPr>
              <w:pStyle w:val="Compact"/>
            </w:pPr>
            <w:r>
              <w:t xml:space="preserve">High</w:t>
            </w:r>
          </w:p>
        </w:tc>
        <w:tc>
          <w:tcPr/>
          <w:p>
            <w:pPr>
              <w:pStyle w:val="Compact"/>
            </w:pPr>
            <w:r>
              <w:t xml:space="preserve">New</w:t>
            </w:r>
          </w:p>
        </w:tc>
        <w:tc>
          <w:tcPr/>
          <w:p>
            <w:pPr>
              <w:pStyle w:val="Compact"/>
            </w:pPr>
            <w:r>
              <w:t xml:space="preserve">N. F. Aitken</w:t>
            </w:r>
          </w:p>
        </w:tc>
        <w:tc>
          <w:tcPr/>
          <w:p>
            <w:pPr>
              <w:pStyle w:val="Compact"/>
            </w:pPr>
            <w:r>
              <w:t xml:space="preserve">Inventory reconstruction and per-matter analysis by outside counsel, reporting August 14, 2026</w:t>
            </w:r>
          </w:p>
        </w:tc>
      </w:tr>
      <w:tr>
        <w:tc>
          <w:tcPr/>
          <w:p>
            <w:pPr>
              <w:pStyle w:val="Compact"/>
            </w:pPr>
            <w:r>
              <w:t xml:space="preserve">R-02</w:t>
            </w:r>
          </w:p>
        </w:tc>
        <w:tc>
          <w:tcPr/>
          <w:p>
            <w:pPr>
              <w:pStyle w:val="Compact"/>
            </w:pPr>
            <w:r>
              <w:t xml:space="preserve">Company data used to train a vendor model during the 43-day window in which AI features were enabled by default</w:t>
            </w:r>
          </w:p>
        </w:tc>
        <w:tc>
          <w:tcPr/>
          <w:p>
            <w:pPr>
              <w:pStyle w:val="Compact"/>
            </w:pPr>
            <w:r>
              <w:t xml:space="preserve">High</w:t>
            </w:r>
          </w:p>
        </w:tc>
        <w:tc>
          <w:tcPr/>
          <w:p>
            <w:pPr>
              <w:pStyle w:val="Compact"/>
            </w:pPr>
            <w:r>
              <w:t xml:space="preserve">High</w:t>
            </w:r>
          </w:p>
        </w:tc>
        <w:tc>
          <w:tcPr/>
          <w:p>
            <w:pPr>
              <w:pStyle w:val="Compact"/>
            </w:pPr>
            <w:r>
              <w:t xml:space="preserve">New</w:t>
            </w:r>
          </w:p>
        </w:tc>
        <w:tc>
          <w:tcPr/>
          <w:p>
            <w:pPr>
              <w:pStyle w:val="Compact"/>
            </w:pPr>
            <w:r>
              <w:t xml:space="preserve">C. B. Nwosu</w:t>
            </w:r>
          </w:p>
        </w:tc>
        <w:tc>
          <w:tcPr/>
          <w:p>
            <w:pPr>
              <w:pStyle w:val="Compact"/>
            </w:pPr>
            <w:r>
              <w:t xml:space="preserve">Officer-signed statement demanded from the vendor by July 31, 2026</w:t>
            </w:r>
          </w:p>
        </w:tc>
      </w:tr>
      <w:tr>
        <w:tc>
          <w:tcPr/>
          <w:p>
            <w:pPr>
              <w:pStyle w:val="Compact"/>
            </w:pPr>
            <w:r>
              <w:t xml:space="preserve">R-03</w:t>
            </w:r>
          </w:p>
        </w:tc>
        <w:tc>
          <w:tcPr/>
          <w:p>
            <w:pPr>
              <w:pStyle w:val="Compact"/>
            </w:pPr>
            <w:r>
              <w:t xml:space="preserve">Special category data processed by an offshore subprocessor without a completed transfer impact assessment</w:t>
            </w:r>
          </w:p>
        </w:tc>
        <w:tc>
          <w:tcPr/>
          <w:p>
            <w:pPr>
              <w:pStyle w:val="Compact"/>
            </w:pPr>
            <w:r>
              <w:t xml:space="preserve">Moderate</w:t>
            </w:r>
          </w:p>
        </w:tc>
        <w:tc>
          <w:tcPr/>
          <w:p>
            <w:pPr>
              <w:pStyle w:val="Compact"/>
            </w:pPr>
            <w:r>
              <w:t xml:space="preserve">High</w:t>
            </w:r>
          </w:p>
        </w:tc>
        <w:tc>
          <w:tcPr/>
          <w:p>
            <w:pPr>
              <w:pStyle w:val="Compact"/>
            </w:pPr>
            <w:r>
              <w:t xml:space="preserve">New</w:t>
            </w:r>
          </w:p>
        </w:tc>
        <w:tc>
          <w:tcPr/>
          <w:p>
            <w:pPr>
              <w:pStyle w:val="Compact"/>
            </w:pPr>
            <w:r>
              <w:t xml:space="preserve">Y. A. Barmani</w:t>
            </w:r>
          </w:p>
        </w:tc>
        <w:tc>
          <w:tcPr/>
          <w:p>
            <w:pPr>
              <w:pStyle w:val="Compact"/>
            </w:pPr>
            <w:r>
              <w:t xml:space="preserve">Condition C-1, due August 14, 2026, with a contractual notice consequence</w:t>
            </w:r>
          </w:p>
        </w:tc>
      </w:tr>
      <w:tr>
        <w:tc>
          <w:tcPr/>
          <w:p>
            <w:pPr>
              <w:pStyle w:val="Compact"/>
            </w:pPr>
            <w:r>
              <w:t xml:space="preserve">R-04</w:t>
            </w:r>
          </w:p>
        </w:tc>
        <w:tc>
          <w:tcPr/>
          <w:p>
            <w:pPr>
              <w:pStyle w:val="Compact"/>
            </w:pPr>
            <w:r>
              <w:t xml:space="preserve">Loss of a patent through a missed grace period</w:t>
            </w:r>
          </w:p>
        </w:tc>
        <w:tc>
          <w:tcPr/>
          <w:p>
            <w:pPr>
              <w:pStyle w:val="Compact"/>
            </w:pPr>
            <w:r>
              <w:t xml:space="preserve">Low</w:t>
            </w:r>
          </w:p>
        </w:tc>
        <w:tc>
          <w:tcPr/>
          <w:p>
            <w:pPr>
              <w:pStyle w:val="Compact"/>
            </w:pPr>
            <w:r>
              <w:t xml:space="preserve">Severe</w:t>
            </w:r>
          </w:p>
        </w:tc>
        <w:tc>
          <w:tcPr/>
          <w:p>
            <w:pPr>
              <w:pStyle w:val="Compact"/>
            </w:pPr>
            <w:r>
              <w:t xml:space="preserve">Reduced</w:t>
            </w:r>
          </w:p>
        </w:tc>
        <w:tc>
          <w:tcPr/>
          <w:p>
            <w:pPr>
              <w:pStyle w:val="Compact"/>
            </w:pPr>
            <w:r>
              <w:t xml:space="preserve">D. S. Iyer</w:t>
            </w:r>
          </w:p>
        </w:tc>
        <w:tc>
          <w:tcPr/>
          <w:p>
            <w:pPr>
              <w:pStyle w:val="Compact"/>
            </w:pPr>
            <w:r>
              <w:t xml:space="preserve">Payment authorized; unassigned-entry filter corrected; full docket sweep complete</w:t>
            </w:r>
          </w:p>
        </w:tc>
      </w:tr>
      <w:tr>
        <w:tc>
          <w:tcPr/>
          <w:p>
            <w:pPr>
              <w:pStyle w:val="Compact"/>
            </w:pPr>
            <w:r>
              <w:t xml:space="preserve">R-05</w:t>
            </w:r>
          </w:p>
        </w:tc>
        <w:tc>
          <w:tcPr/>
          <w:p>
            <w:pPr>
              <w:pStyle w:val="Compact"/>
            </w:pPr>
            <w:r>
              <w:t xml:space="preserve">Additional contractor contributions held without an assignment, creating unassignable joint ownership</w:t>
            </w:r>
          </w:p>
        </w:tc>
        <w:tc>
          <w:tcPr/>
          <w:p>
            <w:pPr>
              <w:pStyle w:val="Compact"/>
            </w:pPr>
            <w:r>
              <w:t xml:space="preserve">Moderate</w:t>
            </w:r>
          </w:p>
        </w:tc>
        <w:tc>
          <w:tcPr/>
          <w:p>
            <w:pPr>
              <w:pStyle w:val="Compact"/>
            </w:pPr>
            <w:r>
              <w:t xml:space="preserve">Moderate</w:t>
            </w:r>
          </w:p>
        </w:tc>
        <w:tc>
          <w:tcPr/>
          <w:p>
            <w:pPr>
              <w:pStyle w:val="Compact"/>
            </w:pPr>
            <w:r>
              <w:t xml:space="preserve">New</w:t>
            </w:r>
          </w:p>
        </w:tc>
        <w:tc>
          <w:tcPr/>
          <w:p>
            <w:pPr>
              <w:pStyle w:val="Compact"/>
            </w:pPr>
            <w:r>
              <w:t xml:space="preserve">A. Pietrzak</w:t>
            </w:r>
          </w:p>
        </w:tc>
        <w:tc>
          <w:tcPr/>
          <w:p>
            <w:pPr>
              <w:pStyle w:val="Compact"/>
            </w:pPr>
            <w:r>
              <w:t xml:space="preserve">Audit of 2024 and 2025 statements of work reporting August 31, 2026</w:t>
            </w:r>
          </w:p>
        </w:tc>
      </w:tr>
      <w:tr>
        <w:tc>
          <w:tcPr/>
          <w:p>
            <w:pPr>
              <w:pStyle w:val="Compact"/>
            </w:pPr>
            <w:r>
              <w:t xml:space="preserve">R-06</w:t>
            </w:r>
          </w:p>
        </w:tc>
        <w:tc>
          <w:tcPr/>
          <w:p>
            <w:pPr>
              <w:pStyle w:val="Compact"/>
            </w:pPr>
            <w:r>
              <w:t xml:space="preserve">Further engagement of unassessed suppliers below the procurement threshold</w:t>
            </w:r>
          </w:p>
        </w:tc>
        <w:tc>
          <w:tcPr/>
          <w:p>
            <w:pPr>
              <w:pStyle w:val="Compact"/>
            </w:pPr>
            <w:r>
              <w:t xml:space="preserve">High</w:t>
            </w:r>
          </w:p>
        </w:tc>
        <w:tc>
          <w:tcPr/>
          <w:p>
            <w:pPr>
              <w:pStyle w:val="Compact"/>
            </w:pPr>
            <w:r>
              <w:t xml:space="preserve">Moderate</w:t>
            </w:r>
          </w:p>
        </w:tc>
        <w:tc>
          <w:tcPr/>
          <w:p>
            <w:pPr>
              <w:pStyle w:val="Compact"/>
            </w:pPr>
            <w:r>
              <w:t xml:space="preserve">New</w:t>
            </w:r>
          </w:p>
        </w:tc>
        <w:tc>
          <w:tcPr/>
          <w:p>
            <w:pPr>
              <w:pStyle w:val="Compact"/>
            </w:pPr>
            <w:r>
              <w:t xml:space="preserve">G. L. Thomsen</w:t>
            </w:r>
          </w:p>
        </w:tc>
        <w:tc>
          <w:tcPr/>
          <w:p>
            <w:pPr>
              <w:pStyle w:val="Compact"/>
            </w:pPr>
            <w:r>
              <w:t xml:space="preserve">Card category block implemented July 2, 2026; policy amendment in draft</w:t>
            </w:r>
          </w:p>
        </w:tc>
      </w:tr>
      <w:tr>
        <w:tc>
          <w:tcPr/>
          <w:p>
            <w:pPr>
              <w:pStyle w:val="Compact"/>
            </w:pPr>
            <w:r>
              <w:t xml:space="preserve">R-07</w:t>
            </w:r>
          </w:p>
        </w:tc>
        <w:tc>
          <w:tcPr/>
          <w:p>
            <w:pPr>
              <w:pStyle w:val="Compact"/>
            </w:pPr>
            <w:r>
              <w:t xml:space="preserve">Reassessment coverage slipping on low-tier vendors</w:t>
            </w:r>
          </w:p>
        </w:tc>
        <w:tc>
          <w:tcPr/>
          <w:p>
            <w:pPr>
              <w:pStyle w:val="Compact"/>
            </w:pPr>
            <w:r>
              <w:t xml:space="preserve">Moderate</w:t>
            </w:r>
          </w:p>
        </w:tc>
        <w:tc>
          <w:tcPr/>
          <w:p>
            <w:pPr>
              <w:pStyle w:val="Compact"/>
            </w:pPr>
            <w:r>
              <w:t xml:space="preserve">Low</w:t>
            </w:r>
          </w:p>
        </w:tc>
        <w:tc>
          <w:tcPr/>
          <w:p>
            <w:pPr>
              <w:pStyle w:val="Compact"/>
            </w:pPr>
            <w:r>
              <w:t xml:space="preserve">New</w:t>
            </w:r>
          </w:p>
        </w:tc>
        <w:tc>
          <w:tcPr/>
          <w:p>
            <w:pPr>
              <w:pStyle w:val="Compact"/>
            </w:pPr>
            <w:r>
              <w:t xml:space="preserve">C. B. Nwosu</w:t>
            </w:r>
          </w:p>
        </w:tc>
        <w:tc>
          <w:tcPr/>
          <w:p>
            <w:pPr>
              <w:pStyle w:val="Compact"/>
            </w:pPr>
            <w:r>
              <w:t xml:space="preserve">Overdue reassessments now listed first in the monthly review, as with unassigned docket entries</w:t>
            </w:r>
          </w:p>
        </w:tc>
      </w:tr>
      <w:tr>
        <w:tc>
          <w:tcPr/>
          <w:p>
            <w:pPr>
              <w:pStyle w:val="Compact"/>
            </w:pPr>
            <w:r>
              <w:t xml:space="preserve">R-08</w:t>
            </w:r>
          </w:p>
        </w:tc>
        <w:tc>
          <w:tcPr/>
          <w:p>
            <w:pPr>
              <w:pStyle w:val="Compact"/>
            </w:pPr>
            <w:r>
              <w:t xml:space="preserve">Inability to exit the HR platform on a reasonable timescale because historical data is not portable</w:t>
            </w:r>
          </w:p>
        </w:tc>
        <w:tc>
          <w:tcPr/>
          <w:p>
            <w:pPr>
              <w:pStyle w:val="Compact"/>
            </w:pPr>
            <w:r>
              <w:t xml:space="preserve">Low</w:t>
            </w:r>
          </w:p>
        </w:tc>
        <w:tc>
          <w:tcPr/>
          <w:p>
            <w:pPr>
              <w:pStyle w:val="Compact"/>
            </w:pPr>
            <w:r>
              <w:t xml:space="preserve">Moderate</w:t>
            </w:r>
          </w:p>
        </w:tc>
        <w:tc>
          <w:tcPr/>
          <w:p>
            <w:pPr>
              <w:pStyle w:val="Compact"/>
            </w:pPr>
            <w:r>
              <w:t xml:space="preserve">New</w:t>
            </w:r>
          </w:p>
        </w:tc>
        <w:tc>
          <w:tcPr/>
          <w:p>
            <w:pPr>
              <w:pStyle w:val="Compact"/>
            </w:pPr>
            <w:r>
              <w:t xml:space="preserve">C. B. Nwosu</w:t>
            </w:r>
          </w:p>
        </w:tc>
        <w:tc>
          <w:tcPr/>
          <w:p>
            <w:pPr>
              <w:pStyle w:val="Compact"/>
            </w:pPr>
            <w:r>
              <w:t xml:space="preserve">Condition C-6: obtain and store a full historical export, and repeat every six months</w:t>
            </w:r>
          </w:p>
        </w:tc>
      </w:tr>
    </w:tbl>
    <w:bookmarkEnd w:id="22"/>
    <w:bookmarkStart w:id="23" w:name="asks-of-the-committee"/>
    <w:p>
      <w:pPr>
        <w:pStyle w:val="Heading2"/>
      </w:pPr>
      <w:r>
        <w:rPr>
          <w:rStyle w:val="SectionNumber"/>
        </w:rPr>
        <w:t xml:space="preserve">1.8</w:t>
      </w:r>
      <w:r>
        <w:tab/>
      </w:r>
      <w:r>
        <w:t xml:space="preserve">8. Asks of the Committee</w:t>
      </w:r>
    </w:p>
    <w:p>
      <w:pPr>
        <w:pStyle w:val="Compact"/>
        <w:numPr>
          <w:ilvl w:val="0"/>
          <w:numId w:val="1001"/>
        </w:numPr>
      </w:pPr>
      <w:r>
        <w:rPr>
          <w:b/>
          <w:bCs/>
        </w:rPr>
        <w:t xml:space="preserve">Note</w:t>
      </w:r>
      <w:r>
        <w:t xml:space="preserve"> </w:t>
      </w:r>
      <w:r>
        <w:t xml:space="preserve">the maintenance fee miss, the correction to the monitoring filter, and the new</w:t>
      </w:r>
      <w:r>
        <w:t xml:space="preserve"> </w:t>
      </w:r>
      <w:r>
        <w:t xml:space="preserve">“deadlines in grace”</w:t>
      </w:r>
      <w:r>
        <w:t xml:space="preserve"> </w:t>
      </w:r>
      <w:r>
        <w:t xml:space="preserve">metric. No decision required.</w:t>
      </w:r>
    </w:p>
    <w:p>
      <w:pPr>
        <w:pStyle w:val="Compact"/>
        <w:numPr>
          <w:ilvl w:val="0"/>
          <w:numId w:val="1001"/>
        </w:numPr>
      </w:pPr>
      <w:r>
        <w:rPr>
          <w:b/>
          <w:bCs/>
        </w:rPr>
        <w:t xml:space="preserve">Note</w:t>
      </w:r>
      <w:r>
        <w:t xml:space="preserve"> </w:t>
      </w:r>
      <w:r>
        <w:t xml:space="preserve">the recorded dissent of the Data Protection Officer on the TalentForce transfer, and confirm that the committee is content with the General Counsel’s basis for the contrary decision.</w:t>
      </w:r>
    </w:p>
    <w:p>
      <w:pPr>
        <w:pStyle w:val="Compact"/>
        <w:numPr>
          <w:ilvl w:val="0"/>
          <w:numId w:val="1001"/>
        </w:numPr>
      </w:pPr>
      <w:r>
        <w:rPr>
          <w:b/>
          <w:bCs/>
        </w:rPr>
        <w:t xml:space="preserve">Approve</w:t>
      </w:r>
      <w:r>
        <w:t xml:space="preserve"> </w:t>
      </w:r>
      <w:r>
        <w:t xml:space="preserve">an out-of-cycle report to this committee if any of TalentForce Conditions C-1, C-2, or C-3 is missed, rather than waiting for the Q3 cycle.</w:t>
      </w:r>
    </w:p>
    <w:p>
      <w:pPr>
        <w:pStyle w:val="Compact"/>
        <w:numPr>
          <w:ilvl w:val="0"/>
          <w:numId w:val="1001"/>
        </w:numPr>
      </w:pPr>
      <w:r>
        <w:rPr>
          <w:b/>
          <w:bCs/>
        </w:rPr>
        <w:t xml:space="preserve">Approve</w:t>
      </w:r>
      <w:r>
        <w:t xml:space="preserve"> </w:t>
      </w:r>
      <w:r>
        <w:t xml:space="preserve">funding of the GlobalComms remediation, estimated at $95,000 for the full year, from the Legal contingency.</w:t>
      </w:r>
    </w:p>
    <w:p>
      <w:pPr>
        <w:pStyle w:val="Compact"/>
        <w:numPr>
          <w:ilvl w:val="0"/>
          <w:numId w:val="1001"/>
        </w:numPr>
      </w:pPr>
      <w:r>
        <w:rPr>
          <w:b/>
          <w:bCs/>
        </w:rPr>
        <w:t xml:space="preserve">Direct</w:t>
      </w:r>
      <w:r>
        <w:t xml:space="preserve"> </w:t>
      </w:r>
      <w:r>
        <w:t xml:space="preserve">management to bring a review of threshold-based procurement controls to the Q3 meeting, extending beyond Legal to every function that uses a spend threshold as a control gate.</w:t>
      </w:r>
    </w:p>
    <w:bookmarkEnd w:id="23"/>
    <w:bookmarkStart w:id="24" w:name="next-report"/>
    <w:p>
      <w:pPr>
        <w:pStyle w:val="Heading2"/>
      </w:pPr>
      <w:r>
        <w:rPr>
          <w:rStyle w:val="SectionNumber"/>
        </w:rPr>
        <w:t xml:space="preserve">1.9</w:t>
      </w:r>
      <w:r>
        <w:tab/>
      </w:r>
      <w:r>
        <w:t xml:space="preserve">9. Next Report</w:t>
      </w:r>
    </w:p>
    <w:p>
      <w:pPr>
        <w:pStyle w:val="FirstParagraph"/>
      </w:pPr>
      <w:r>
        <w:t xml:space="preserve">Q3 2026, covering July 1 to September 30, 2026. Issued October 14, 2026 for the October 21, 2026 meeting. Expected content: the contractor assignment audit result; closure or failure of TalentForce Conditions C-1, C-2, and C-3; the GlobalComms per-matter privilege analysis; the SignalPost 4.0 copyright registration outcome; and the threshold controls review requested at Ask 5.</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2026-08-09T01:49:53Z</dcterms:created>
  <dcterms:modified xsi:type="dcterms:W3CDTF">2026-08-09T01:49:53Z</dcterms:modified>
</cp:coreProperties>
</file>

<file path=docProps/custom.xml><?xml version="1.0" encoding="utf-8"?>
<Properties xmlns="http://schemas.openxmlformats.org/officeDocument/2006/custom-properties" xmlns:vt="http://schemas.openxmlformats.org/officeDocument/2006/docPropsVTypes"/>
</file>