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X335bf0620795ced07a2ae4e76b9e84e60268cad"/>
    <w:p>
      <w:pPr>
        <w:pStyle w:val="Heading1"/>
      </w:pPr>
      <w:r>
        <w:t xml:space="preserve">Spending Accounts and Commuter Benefits: Summary Plan Description</w:t>
      </w:r>
    </w:p>
    <w:bookmarkStart w:id="9" w:name="document-control"/>
    <w:p>
      <w:pPr>
        <w:pStyle w:val="Heading2"/>
      </w:pPr>
      <w:r>
        <w:t xml:space="preserve">Document Control</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Document ID</w:t>
            </w:r>
          </w:p>
        </w:tc>
        <w:tc>
          <w:tcPr/>
          <w:p>
            <w:pPr>
              <w:pStyle w:val="Compact"/>
            </w:pPr>
            <w:r>
              <w:t xml:space="preserve">ADI-BNF-005</w:t>
            </w:r>
          </w:p>
        </w:tc>
      </w:tr>
      <w:tr>
        <w:tc>
          <w:tcPr/>
          <w:p>
            <w:pPr>
              <w:pStyle w:val="Compact"/>
            </w:pPr>
            <w:r>
              <w:t xml:space="preserve">Version</w:t>
            </w:r>
          </w:p>
        </w:tc>
        <w:tc>
          <w:tcPr/>
          <w:p>
            <w:pPr>
              <w:pStyle w:val="Compact"/>
            </w:pPr>
            <w:r>
              <w:t xml:space="preserve">3.0</w:t>
            </w:r>
          </w:p>
        </w:tc>
      </w:tr>
      <w:tr>
        <w:tc>
          <w:tcPr/>
          <w:p>
            <w:pPr>
              <w:pStyle w:val="Compact"/>
            </w:pPr>
            <w:r>
              <w:t xml:space="preserve">Status</w:t>
            </w:r>
          </w:p>
        </w:tc>
        <w:tc>
          <w:tcPr/>
          <w:p>
            <w:pPr>
              <w:pStyle w:val="Compact"/>
            </w:pPr>
            <w:r>
              <w:t xml:space="preserve">Active</w:t>
            </w:r>
          </w:p>
        </w:tc>
      </w:tr>
      <w:tr>
        <w:tc>
          <w:tcPr/>
          <w:p>
            <w:pPr>
              <w:pStyle w:val="Compact"/>
            </w:pPr>
            <w:r>
              <w:t xml:space="preserve">Owner</w:t>
            </w:r>
          </w:p>
        </w:tc>
        <w:tc>
          <w:tcPr/>
          <w:p>
            <w:pPr>
              <w:pStyle w:val="Compact"/>
            </w:pPr>
            <w:r>
              <w:t xml:space="preserve">Constance Adeyemi, Chief People Officer</w:t>
            </w:r>
          </w:p>
        </w:tc>
      </w:tr>
      <w:tr>
        <w:tc>
          <w:tcPr/>
          <w:p>
            <w:pPr>
              <w:pStyle w:val="Compact"/>
            </w:pPr>
            <w:r>
              <w:t xml:space="preserve">Approver</w:t>
            </w:r>
          </w:p>
        </w:tc>
        <w:tc>
          <w:tcPr/>
          <w:p>
            <w:pPr>
              <w:pStyle w:val="Compact"/>
            </w:pPr>
            <w:r>
              <w:t xml:space="preserve">Priya Raghunathan, General Counsel and Corporate Secretary</w:t>
            </w:r>
          </w:p>
        </w:tc>
      </w:tr>
      <w:tr>
        <w:tc>
          <w:tcPr/>
          <w:p>
            <w:pPr>
              <w:pStyle w:val="Compact"/>
            </w:pPr>
            <w:r>
              <w:t xml:space="preserve">Effective Date</w:t>
            </w:r>
          </w:p>
        </w:tc>
        <w:tc>
          <w:tcPr/>
          <w:p>
            <w:pPr>
              <w:pStyle w:val="Compact"/>
            </w:pPr>
            <w:r>
              <w:t xml:space="preserve">2026-01-01</w:t>
            </w:r>
          </w:p>
        </w:tc>
      </w:tr>
      <w:tr>
        <w:tc>
          <w:tcPr/>
          <w:p>
            <w:pPr>
              <w:pStyle w:val="Compact"/>
            </w:pPr>
            <w:r>
              <w:t xml:space="preserve">Last Reviewed</w:t>
            </w:r>
          </w:p>
        </w:tc>
        <w:tc>
          <w:tcPr/>
          <w:p>
            <w:pPr>
              <w:pStyle w:val="Compact"/>
            </w:pPr>
            <w:r>
              <w:t xml:space="preserve">2026-01-01</w:t>
            </w:r>
          </w:p>
        </w:tc>
      </w:tr>
      <w:tr>
        <w:tc>
          <w:tcPr/>
          <w:p>
            <w:pPr>
              <w:pStyle w:val="Compact"/>
            </w:pPr>
            <w:r>
              <w:t xml:space="preserve">Next Review Due</w:t>
            </w:r>
          </w:p>
        </w:tc>
        <w:tc>
          <w:tcPr/>
          <w:p>
            <w:pPr>
              <w:pStyle w:val="Compact"/>
            </w:pPr>
            <w:r>
              <w:t xml:space="preserve">2026-10-01</w:t>
            </w:r>
          </w:p>
        </w:tc>
      </w:tr>
      <w:tr>
        <w:tc>
          <w:tcPr/>
          <w:p>
            <w:pPr>
              <w:pStyle w:val="Compact"/>
            </w:pPr>
            <w:r>
              <w:t xml:space="preserve">Supersedes</w:t>
            </w:r>
          </w:p>
        </w:tc>
        <w:tc>
          <w:tcPr/>
          <w:p>
            <w:pPr>
              <w:pStyle w:val="Compact"/>
            </w:pPr>
            <w:r>
              <w:t xml:space="preserve">ADI-BNF-005 v2.0</w:t>
            </w:r>
          </w:p>
        </w:tc>
      </w:tr>
      <w:tr>
        <w:tc>
          <w:tcPr/>
          <w:p>
            <w:pPr>
              <w:pStyle w:val="Compact"/>
            </w:pPr>
            <w:r>
              <w:t xml:space="preserve">Superseded By</w:t>
            </w:r>
          </w:p>
        </w:tc>
        <w:tc>
          <w:tcPr/>
          <w:p>
            <w:pPr>
              <w:pStyle w:val="Compact"/>
            </w:pPr>
            <w:r>
              <w:t xml:space="preserve">None</w:t>
            </w:r>
          </w:p>
        </w:tc>
      </w:tr>
    </w:tbl>
    <w:bookmarkEnd w:id="9"/>
    <w:bookmarkStart w:id="10" w:name="plan-overview"/>
    <w:p>
      <w:pPr>
        <w:pStyle w:val="Heading2"/>
      </w:pPr>
      <w:r>
        <w:t xml:space="preserve">1. Plan Overview</w:t>
      </w:r>
    </w:p>
    <w:p>
      <w:pPr>
        <w:pStyle w:val="FirstParagraph"/>
      </w:pPr>
      <w:r>
        <w:t xml:space="preserve">This plan lets you set aside part of your pay before tax in three ways: a health flexible spending account for health, dental and vision expenses; a health savings account, if you are enrolled in the Saver HSA option of the medical plan; and commuter benefits for getting to work. Because the money is taken from your pay before tax, each dollar you set aside costs you less than a dollar of take-home pay. You choose how much to set aside, and every amount you choose is subject to the monthly limit set under federal tax law.</w:t>
      </w:r>
    </w:p>
    <w:bookmarkEnd w:id="10"/>
    <w:bookmarkStart w:id="11" w:name="eligibility-and-participation"/>
    <w:p>
      <w:pPr>
        <w:pStyle w:val="Heading2"/>
      </w:pPr>
      <w:r>
        <w:t xml:space="preserve">2. Eligibility and Participation</w:t>
      </w:r>
    </w:p>
    <w:p>
      <w:pPr>
        <w:pStyle w:val="FirstParagraph"/>
      </w:pPr>
      <w:r>
        <w:t xml:space="preserve">You are eligible if you are a regular full-time employee, or a regular part-time employee scheduled for 20 or more hours per week, from the first day of the month following the date of hire. The health flexible spending account is open to every eligible employee. The health savings account is available only if you are enrolled in the Saver HSA option. Commuter benefits are open to every eligible employee who travels to a Company work location. Your participation ends on the last day of the month in which separation occurs.</w:t>
      </w:r>
    </w:p>
    <w:bookmarkEnd w:id="11"/>
    <w:bookmarkStart w:id="12" w:name="enrollment-and-changes"/>
    <w:p>
      <w:pPr>
        <w:pStyle w:val="Heading2"/>
      </w:pPr>
      <w:r>
        <w:t xml:space="preserve">3. Enrollment and Changes</w:t>
      </w:r>
    </w:p>
    <w:p>
      <w:pPr>
        <w:pStyle w:val="FirstParagraph"/>
      </w:pPr>
      <w:r>
        <w:t xml:space="preserve">You elect the health flexible spending account in the HRIS as a single annual amount, when you are first eligible and then at each open enrollment. That election stays fixed for the plan year unless you have a qualifying life event, and ADI-BNF-007 sets out which events qualify and how long you have to report them. It does not carry forward: you elect it again each year.</w:t>
      </w:r>
    </w:p>
    <w:p>
      <w:pPr>
        <w:pStyle w:val="BodyText"/>
      </w:pPr>
      <w:r>
        <w:t xml:space="preserve">You may start, change or stop health savings account contributions at any time while you are enrolled in the Saver HSA option. You may start, change or stop commuter benefits for any month by updating the HRIS before that month’s first pay date.</w:t>
      </w:r>
    </w:p>
    <w:bookmarkEnd w:id="12"/>
    <w:bookmarkStart w:id="16" w:name="covered-benefits"/>
    <w:p>
      <w:pPr>
        <w:pStyle w:val="Heading2"/>
      </w:pPr>
      <w:r>
        <w:t xml:space="preserve">4. Covered Benefits</w:t>
      </w:r>
    </w:p>
    <w:p>
      <w:pPr>
        <w:pStyle w:val="FirstParagraph"/>
      </w:pPr>
      <w:r>
        <w:t xml:space="preserve">Every benefit below is funded from your own pay, before tax, through payroll.</w:t>
      </w:r>
    </w:p>
    <w:bookmarkStart w:id="13" w:name="health-flexible-spending-account"/>
    <w:p>
      <w:pPr>
        <w:pStyle w:val="Heading3"/>
      </w:pPr>
      <w:r>
        <w:t xml:space="preserve">Health flexible spending account</w:t>
      </w:r>
    </w:p>
    <w:p>
      <w:pPr>
        <w:pStyle w:val="FirstParagraph"/>
      </w:pPr>
      <w:r>
        <w:t xml:space="preserve">The health flexible spending account reimburses eligible out-of-pocket health, dental and vision expenses for you, your spouse and your dependents, such as deductibles, the shares of a cost that the plans leave to you, prescription drugs and eyeglasses. If you are enrolled in the Saver HSA option, the health flexible spending account reimburses dental and vision expenses only. You may contribute up to the annual limit set under federal tax law for the plan year. The whole amount you elect for the year is available to you from the first day of the plan year, even though it is taken from your pay in equal parts over the year.</w:t>
      </w:r>
    </w:p>
    <w:bookmarkEnd w:id="13"/>
    <w:bookmarkStart w:id="14" w:name="health-savings-account"/>
    <w:p>
      <w:pPr>
        <w:pStyle w:val="Heading3"/>
      </w:pPr>
      <w:r>
        <w:t xml:space="preserve">Health savings account</w:t>
      </w:r>
    </w:p>
    <w:p>
      <w:pPr>
        <w:pStyle w:val="FirstParagraph"/>
      </w:pPr>
      <w:r>
        <w:t xml:space="preserve">The health savings account is available only if you are enrolled in the Saver HSA option. It is an account in your own name that you keep if you change options or leave the Company. You may contribute up to the annual limit set under federal tax law for the plan year, and you use the account to pay eligible health, dental and vision expenses now or in later years. Any balance carries forward from year to year, and you may invest it once it reaches the level the account custodian sets.</w:t>
      </w:r>
    </w:p>
    <w:bookmarkEnd w:id="14"/>
    <w:bookmarkStart w:id="15" w:name="commuter-benefits"/>
    <w:p>
      <w:pPr>
        <w:pStyle w:val="Heading3"/>
      </w:pPr>
      <w:r>
        <w:t xml:space="preserve">Commuter benefits</w:t>
      </w:r>
    </w:p>
    <w:p>
      <w:pPr>
        <w:pStyle w:val="FirstParagraph"/>
      </w:pPr>
      <w:r>
        <w:t xml:space="preserve">Commuter benefits pay for transit passes and for parking near your work location. You may set aside up to the monthly limit set under federal tax law, and you use the commuter card issued to you through the HRIS or submit a receipt for reimbursement. Rideshare trips and tolls are not covered by commuter benefits.</w:t>
      </w:r>
    </w:p>
    <w:bookmarkEnd w:id="15"/>
    <w:bookmarkEnd w:id="16"/>
    <w:bookmarkStart w:id="17" w:name="exclusions-and-limitations"/>
    <w:p>
      <w:pPr>
        <w:pStyle w:val="Heading2"/>
      </w:pPr>
      <w:r>
        <w:t xml:space="preserve">5. Exclusions and Limitations</w:t>
      </w:r>
    </w:p>
    <w:p>
      <w:pPr>
        <w:pStyle w:val="FirstParagraph"/>
      </w:pPr>
      <w:r>
        <w:t xml:space="preserve">This section collects the exclusions and limitations of the plan, each of which applies to every participant.</w:t>
      </w:r>
    </w:p>
    <w:p>
      <w:pPr>
        <w:pStyle w:val="BodyText"/>
      </w:pPr>
      <w:r>
        <w:t xml:space="preserve">Rideshare trips and tolls are not covered by commuter benefits.</w:t>
      </w:r>
    </w:p>
    <w:bookmarkEnd w:id="17"/>
    <w:bookmarkStart w:id="18" w:name="coverage-during-leave"/>
    <w:p>
      <w:pPr>
        <w:pStyle w:val="Heading2"/>
      </w:pPr>
      <w:r>
        <w:t xml:space="preserve">6. Coverage During Leave</w:t>
      </w:r>
    </w:p>
    <w:p>
      <w:pPr>
        <w:pStyle w:val="FirstParagraph"/>
      </w:pPr>
      <w:r>
        <w:t xml:space="preserve">Health flexible spending account contributions are suspended during unpaid periods, and you may elect at the start of a leave to prepay or to reduce the annual election. While a leave is paid, your contributions continue as usual. Health savings account and commuter contributions stop for any period in which no pay is issued and resume automatically when pay resumes. You may keep using the balance you already hold in either spending account during the leave.</w:t>
      </w:r>
    </w:p>
    <w:bookmarkEnd w:id="18"/>
    <w:bookmarkStart w:id="19" w:name="claims-and-appeals"/>
    <w:p>
      <w:pPr>
        <w:pStyle w:val="Heading2"/>
      </w:pPr>
      <w:r>
        <w:t xml:space="preserve">7. Claims and Appeals</w:t>
      </w:r>
    </w:p>
    <w:p>
      <w:pPr>
        <w:pStyle w:val="FirstParagraph"/>
      </w:pPr>
      <w:r>
        <w:t xml:space="preserve">You claim reimbursement from the health flexible spending account or from commuter benefits in the HRIS, with a receipt or an itemized statement. Claims for a plan year’s health flexible spending account expenses are submitted within 90 days after that plan year ends. You pay from your health savings account directly with its card or by requesting a withdrawal from the account custodian, and no claim is needed.</w:t>
      </w:r>
    </w:p>
    <w:p>
      <w:pPr>
        <w:pStyle w:val="BodyText"/>
      </w:pPr>
      <w:r>
        <w:t xml:space="preserve">If a claim is denied, you receive a written explanation of the reasons and of how to appeal. You may appeal to the plan administrator within 180 days, and the appeal is decided within 60 days.</w:t>
      </w:r>
    </w:p>
    <w:bookmarkEnd w:id="19"/>
    <w:bookmarkStart w:id="20" w:name="plan-administration"/>
    <w:p>
      <w:pPr>
        <w:pStyle w:val="Heading2"/>
      </w:pPr>
      <w:r>
        <w:t xml:space="preserve">8. Plan Administration</w:t>
      </w:r>
    </w:p>
    <w:p>
      <w:pPr>
        <w:pStyle w:val="FirstParagraph"/>
      </w:pPr>
      <w:r>
        <w:t xml:space="preserve">Atticus Dundee Inc. is the plan administrator of the health flexible spending account and commuter benefits and may amend or end them. The health savings account is held by the account custodian named in the HRIS, and the Company’s role is to send your contributions to it from payroll. The documents that govern each account are held in the HRIS with this summary.</w:t>
      </w:r>
    </w:p>
    <w:p>
      <w:pPr>
        <w:pStyle w:val="BodyText"/>
      </w:pPr>
      <w:r>
        <w:t xml:space="preserve">Aviso: Este documento contiene información importante sobre sus beneficios en Atticus Dundee Inc. Si necesita ayuda en español, escriba a peopleops@atticusdundee.example.</w:t>
      </w:r>
    </w:p>
    <w:bookmarkEnd w:id="20"/>
    <w:bookmarkStart w:id="21" w:name="version-history"/>
    <w:p>
      <w:pPr>
        <w:pStyle w:val="Heading2"/>
      </w:pPr>
      <w:r>
        <w:t xml:space="preserve">Version History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Version</w:t>
            </w:r>
          </w:p>
        </w:tc>
        <w:tc>
          <w:tcPr/>
          <w:p>
            <w:pPr>
              <w:pStyle w:val="Compact"/>
            </w:pPr>
            <w:r>
              <w:t xml:space="preserve">Date</w:t>
            </w:r>
          </w:p>
        </w:tc>
        <w:tc>
          <w:tcPr/>
          <w:p>
            <w:pPr>
              <w:pStyle w:val="Compact"/>
            </w:pPr>
            <w:r>
              <w:t xml:space="preserve">Summary of Change</w:t>
            </w:r>
          </w:p>
        </w:tc>
        <w:tc>
          <w:tcPr/>
          <w:p>
            <w:pPr>
              <w:pStyle w:val="Compact"/>
            </w:pPr>
            <w:r>
              <w:t xml:space="preserve">Approved By</w:t>
            </w:r>
          </w:p>
        </w:tc>
      </w:tr>
      <w:tr>
        <w:tc>
          <w:tcPr/>
          <w:p>
            <w:pPr>
              <w:pStyle w:val="Compact"/>
            </w:pPr>
            <w:r>
              <w:t xml:space="preserve">1.0</w:t>
            </w:r>
          </w:p>
        </w:tc>
        <w:tc>
          <w:tcPr/>
          <w:p>
            <w:pPr>
              <w:pStyle w:val="Compact"/>
            </w:pPr>
            <w:r>
              <w:t xml:space="preserve">2024-07-01</w:t>
            </w:r>
          </w:p>
        </w:tc>
        <w:tc>
          <w:tcPr/>
          <w:p>
            <w:pPr>
              <w:pStyle w:val="Compact"/>
            </w:pPr>
            <w:r>
              <w:t xml:space="preserve">Summary plan description issued for the benefits plan library.</w:t>
            </w:r>
          </w:p>
        </w:tc>
        <w:tc>
          <w:tcPr/>
          <w:p>
            <w:pPr>
              <w:pStyle w:val="Compact"/>
            </w:pPr>
            <w:r>
              <w:t xml:space="preserve">Priya Raghunathan</w:t>
            </w:r>
          </w:p>
        </w:tc>
      </w:tr>
      <w:tr>
        <w:tc>
          <w:tcPr/>
          <w:p>
            <w:pPr>
              <w:pStyle w:val="Compact"/>
            </w:pPr>
            <w:r>
              <w:t xml:space="preserve">2.0</w:t>
            </w:r>
          </w:p>
        </w:tc>
        <w:tc>
          <w:tcPr/>
          <w:p>
            <w:pPr>
              <w:pStyle w:val="Compact"/>
            </w:pPr>
            <w:r>
              <w:t xml:space="preserve">2025-01-01</w:t>
            </w:r>
          </w:p>
        </w:tc>
        <w:tc>
          <w:tcPr/>
          <w:p>
            <w:pPr>
              <w:pStyle w:val="Compact"/>
            </w:pPr>
            <w:r>
              <w:t xml:space="preserve">Reissued for the 2025 plan year.</w:t>
            </w:r>
          </w:p>
        </w:tc>
        <w:tc>
          <w:tcPr/>
          <w:p>
            <w:pPr>
              <w:pStyle w:val="Compact"/>
            </w:pPr>
            <w:r>
              <w:t xml:space="preserve">Priya Raghunathan</w:t>
            </w:r>
          </w:p>
        </w:tc>
      </w:tr>
      <w:tr>
        <w:tc>
          <w:tcPr/>
          <w:p>
            <w:pPr>
              <w:pStyle w:val="Compact"/>
            </w:pPr>
            <w:r>
              <w:t xml:space="preserve">3.0</w:t>
            </w:r>
          </w:p>
        </w:tc>
        <w:tc>
          <w:tcPr/>
          <w:p>
            <w:pPr>
              <w:pStyle w:val="Compact"/>
            </w:pPr>
            <w:r>
              <w:t xml:space="preserve">2026-01-01</w:t>
            </w:r>
          </w:p>
        </w:tc>
        <w:tc>
          <w:tcPr/>
          <w:p>
            <w:pPr>
              <w:pStyle w:val="Compact"/>
            </w:pPr>
            <w:r>
              <w:t xml:space="preserve">Reissued for the 2026 plan year.</w:t>
            </w:r>
          </w:p>
        </w:tc>
        <w:tc>
          <w:tcPr/>
          <w:p>
            <w:pPr>
              <w:pStyle w:val="Compact"/>
            </w:pPr>
            <w:r>
              <w:t xml:space="preserve">Priya Raghunathan</w:t>
            </w:r>
          </w:p>
        </w:tc>
      </w:tr>
    </w:tbl>
    <w:bookmarkEnd w:id="21"/>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jc w:val="both"/>
    </w:p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jc w:val="left"/>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jc w:val="left"/>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jc w:val="left"/>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jc w:val="left"/>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jc w:val="left"/>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jc w:val="left"/>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jc w:val="left"/>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jc w:val="left"/>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jc w:val="left"/>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2026-09-23T19:02:03Z</dcterms:created>
  <dcterms:modified xsi:type="dcterms:W3CDTF">2026-09-23T19:02:03Z</dcterms:modified>
</cp:coreProperties>
</file>

<file path=docProps/custom.xml><?xml version="1.0" encoding="utf-8"?>
<Properties xmlns="http://schemas.openxmlformats.org/officeDocument/2006/custom-properties" xmlns:vt="http://schemas.openxmlformats.org/officeDocument/2006/docPropsVTypes"/>
</file>