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k-savings-plan-summary-plan-description"/>
    <w:p>
      <w:pPr>
        <w:pStyle w:val="Heading1"/>
      </w:pPr>
      <w:r>
        <w:t xml:space="preserve">401(k) Savings Plan: Summary Plan Description</w:t>
      </w:r>
    </w:p>
    <w:bookmarkStart w:id="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ADI-BNF-001</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Superseded</w:t>
            </w:r>
          </w:p>
        </w:tc>
      </w:tr>
      <w:tr>
        <w:tc>
          <w:tcPr/>
          <w:p>
            <w:pPr>
              <w:pStyle w:val="Compact"/>
            </w:pPr>
            <w:r>
              <w:t xml:space="preserve">Owner</w:t>
            </w:r>
          </w:p>
        </w:tc>
        <w:tc>
          <w:tcPr/>
          <w:p>
            <w:pPr>
              <w:pStyle w:val="Compact"/>
            </w:pPr>
            <w:r>
              <w:t xml:space="preserve">Constance Adeyemi, Chief People Officer</w:t>
            </w:r>
          </w:p>
        </w:tc>
      </w:tr>
      <w:tr>
        <w:tc>
          <w:tcPr/>
          <w:p>
            <w:pPr>
              <w:pStyle w:val="Compact"/>
            </w:pPr>
            <w:r>
              <w:t xml:space="preserve">Approver</w:t>
            </w:r>
          </w:p>
        </w:tc>
        <w:tc>
          <w:tcPr/>
          <w:p>
            <w:pPr>
              <w:pStyle w:val="Compact"/>
            </w:pPr>
            <w:r>
              <w:t xml:space="preserve">Priya Raghunathan, General Counsel and Corporate Secretary</w:t>
            </w:r>
          </w:p>
        </w:tc>
      </w:tr>
      <w:tr>
        <w:tc>
          <w:tcPr/>
          <w:p>
            <w:pPr>
              <w:pStyle w:val="Compact"/>
            </w:pPr>
            <w:r>
              <w:t xml:space="preserve">Effective Date</w:t>
            </w:r>
          </w:p>
        </w:tc>
        <w:tc>
          <w:tcPr/>
          <w:p>
            <w:pPr>
              <w:pStyle w:val="Compact"/>
            </w:pPr>
            <w:r>
              <w:t xml:space="preserve">2024-07-01</w:t>
            </w:r>
          </w:p>
        </w:tc>
      </w:tr>
      <w:tr>
        <w:tc>
          <w:tcPr/>
          <w:p>
            <w:pPr>
              <w:pStyle w:val="Compact"/>
            </w:pPr>
            <w:r>
              <w:t xml:space="preserve">Last Reviewed</w:t>
            </w:r>
          </w:p>
        </w:tc>
        <w:tc>
          <w:tcPr/>
          <w:p>
            <w:pPr>
              <w:pStyle w:val="Compact"/>
            </w:pPr>
            <w:r>
              <w:t xml:space="preserve">2024-07-01</w:t>
            </w:r>
          </w:p>
        </w:tc>
      </w:tr>
      <w:tr>
        <w:tc>
          <w:tcPr/>
          <w:p>
            <w:pPr>
              <w:pStyle w:val="Compact"/>
            </w:pPr>
            <w:r>
              <w:t xml:space="preserve">Next Review Due</w:t>
            </w:r>
          </w:p>
        </w:tc>
        <w:tc>
          <w:tcPr/>
          <w:p>
            <w:pPr>
              <w:pStyle w:val="Compact"/>
            </w:pPr>
            <w:r>
              <w:t xml:space="preserve">2025-07-01</w:t>
            </w:r>
          </w:p>
        </w:tc>
      </w:tr>
      <w:tr>
        <w:tc>
          <w:tcPr/>
          <w:p>
            <w:pPr>
              <w:pStyle w:val="Compact"/>
            </w:pPr>
            <w:r>
              <w:t xml:space="preserve">Supersedes</w:t>
            </w:r>
          </w:p>
        </w:tc>
        <w:tc>
          <w:tcPr/>
          <w:p>
            <w:pPr>
              <w:pStyle w:val="Compact"/>
            </w:pPr>
            <w:r>
              <w:t xml:space="preserve">None</w:t>
            </w:r>
          </w:p>
        </w:tc>
      </w:tr>
      <w:tr>
        <w:tc>
          <w:tcPr/>
          <w:p>
            <w:pPr>
              <w:pStyle w:val="Compact"/>
            </w:pPr>
            <w:r>
              <w:t xml:space="preserve">Superseded By</w:t>
            </w:r>
          </w:p>
        </w:tc>
        <w:tc>
          <w:tcPr/>
          <w:p>
            <w:pPr>
              <w:pStyle w:val="Compact"/>
            </w:pPr>
            <w:r>
              <w:t xml:space="preserve">ADI-BNF-008</w:t>
            </w:r>
          </w:p>
        </w:tc>
      </w:tr>
    </w:tbl>
    <w:bookmarkEnd w:id="9"/>
    <w:bookmarkStart w:id="10" w:name="plan-overview"/>
    <w:p>
      <w:pPr>
        <w:pStyle w:val="Heading2"/>
      </w:pPr>
      <w:r>
        <w:t xml:space="preserve">1. Plan Overview</w:t>
      </w:r>
    </w:p>
    <w:p>
      <w:pPr>
        <w:pStyle w:val="FirstParagraph"/>
      </w:pPr>
      <w:r>
        <w:t xml:space="preserve">The 401(k) savings plan lets you save for retirement from your pay before tax, and the Company adds a matching contribution to your account when you contribute. You invest your account in the funds you choose from the plan’s investment menu, which is shown in the HRIS. This summary plan description explains who may join, how your contributions and the Company match work, when the match becomes yours, and how loans work.</w:t>
      </w:r>
    </w:p>
    <w:bookmarkEnd w:id="10"/>
    <w:bookmarkStart w:id="11" w:name="eligibility-and-participation"/>
    <w:p>
      <w:pPr>
        <w:pStyle w:val="Heading2"/>
      </w:pPr>
      <w:r>
        <w:t xml:space="preserve">2. Eligibility and Participation</w:t>
      </w:r>
    </w:p>
    <w:p>
      <w:pPr>
        <w:pStyle w:val="FirstParagraph"/>
      </w:pPr>
      <w:r>
        <w:t xml:space="preserve">You are eligible to join the plan if you are a regular full-time employee, or a regular part-time employee scheduled for 20 or more hours per week. You become eligible on your date of hire, and your contributions begin with the first pay date after your election is recorded in the HRIS. Temporary employees do not participate.</w:t>
      </w:r>
    </w:p>
    <w:bookmarkEnd w:id="11"/>
    <w:bookmarkStart w:id="12" w:name="enrollment-and-changes"/>
    <w:p>
      <w:pPr>
        <w:pStyle w:val="Heading2"/>
      </w:pPr>
      <w:r>
        <w:t xml:space="preserve">3. Enrollment and Changes</w:t>
      </w:r>
    </w:p>
    <w:p>
      <w:pPr>
        <w:pStyle w:val="FirstParagraph"/>
      </w:pPr>
      <w:r>
        <w:t xml:space="preserve">You enroll by choosing, in the HRIS, the whole percentage of your eligible compensation you want to contribute each pay period. You may change or stop your contributions at any time, and a change takes effect with the next pay date the payroll schedule allows. You do not wait for open enrollment.</w:t>
      </w:r>
    </w:p>
    <w:p>
      <w:pPr>
        <w:pStyle w:val="BodyText"/>
      </w:pPr>
      <w:r>
        <w:t xml:space="preserve">Your contributions for a calendar year may not exceed the annual limit set under federal tax law for the plan year. If you reach age 50 or older during the year, you may also make additional catch-up contributions, up to the separate annual limit set under federal tax law for the plan year.</w:t>
      </w:r>
    </w:p>
    <w:bookmarkEnd w:id="12"/>
    <w:bookmarkStart w:id="17" w:name="covered-benefits"/>
    <w:p>
      <w:pPr>
        <w:pStyle w:val="Heading2"/>
      </w:pPr>
      <w:r>
        <w:t xml:space="preserve">4. Covered Benefits</w:t>
      </w:r>
    </w:p>
    <w:p>
      <w:pPr>
        <w:pStyle w:val="FirstParagraph"/>
      </w:pPr>
      <w:r>
        <w:t xml:space="preserve">Every benefit below is available to each participant, on the same terms, and is calculated on eligible compensation, which is your base pay, overtime, bonuses and commissions as paid through payroll.</w:t>
      </w:r>
    </w:p>
    <w:bookmarkStart w:id="13" w:name="employee-contributions"/>
    <w:p>
      <w:pPr>
        <w:pStyle w:val="Heading3"/>
      </w:pPr>
      <w:r>
        <w:t xml:space="preserve">Employee contributions</w:t>
      </w:r>
    </w:p>
    <w:p>
      <w:pPr>
        <w:pStyle w:val="FirstParagraph"/>
      </w:pPr>
      <w:r>
        <w:t xml:space="preserve">You decide how much of your eligible compensation to contribute each pay period, as a whole percentage, up to the annual limit set under federal tax law for the plan year. Your contributions are taken from your pay before income tax is calculated and are deposited to your account shortly after each pay date. Your own contributions are always fully vested, so they are yours from the day they are deposited, whatever happens to your employment.</w:t>
      </w:r>
    </w:p>
    <w:bookmarkEnd w:id="13"/>
    <w:bookmarkStart w:id="14" w:name="company-match"/>
    <w:p>
      <w:pPr>
        <w:pStyle w:val="Heading3"/>
      </w:pPr>
      <w:r>
        <w:t xml:space="preserve">Company match</w:t>
      </w:r>
    </w:p>
    <w:p>
      <w:pPr>
        <w:pStyle w:val="FirstParagraph"/>
      </w:pPr>
      <w:r>
        <w:t xml:space="preserve">The Company matches 50 percent of the first 6 percent of eligible compensation you contribute each pay period. If you contribute 6 percent or more, the match equals 3 percent of your eligible compensation for that pay period. If you contribute less than 6 percent, the match equals half of what you contribute. The match is deposited to your account with your own contribution each pay period.</w:t>
      </w:r>
    </w:p>
    <w:bookmarkEnd w:id="14"/>
    <w:bookmarkStart w:id="15" w:name="vesting"/>
    <w:p>
      <w:pPr>
        <w:pStyle w:val="Heading3"/>
      </w:pPr>
      <w:r>
        <w:t xml:space="preserve">Vesting</w:t>
      </w:r>
    </w:p>
    <w:p>
      <w:pPr>
        <w:pStyle w:val="FirstParagraph"/>
      </w:pPr>
      <w:r>
        <w:t xml:space="preserve">The match vests 25 percent for each completed year of service, and you are fully vested after four completed years of service. A year of service is each 12-month period of employment measured from your date of hire. If you leave the Company before you are fully vested, the part of the match that has not vested is returned to the plan and used to pay plan expenses or to reduce future Company matches.</w:t>
      </w:r>
    </w:p>
    <w:bookmarkEnd w:id="15"/>
    <w:bookmarkStart w:id="16" w:name="loans"/>
    <w:p>
      <w:pPr>
        <w:pStyle w:val="Heading3"/>
      </w:pPr>
      <w:r>
        <w:t xml:space="preserve">Loans</w:t>
      </w:r>
    </w:p>
    <w:p>
      <w:pPr>
        <w:pStyle w:val="FirstParagraph"/>
      </w:pPr>
      <w:r>
        <w:t xml:space="preserve">You may borrow from your vested account balance and repay the loan, with interest, through payroll deductions over a term of up to five years. Loans are limited to one outstanding loan at a time. You apply for a loan through the plan’s recordkeeper.</w:t>
      </w:r>
    </w:p>
    <w:bookmarkEnd w:id="16"/>
    <w:bookmarkEnd w:id="17"/>
    <w:bookmarkStart w:id="18" w:name="exclusions-and-limitations"/>
    <w:p>
      <w:pPr>
        <w:pStyle w:val="Heading2"/>
      </w:pPr>
      <w:r>
        <w:t xml:space="preserve">5. Exclusions and Limitations</w:t>
      </w:r>
    </w:p>
    <w:p>
      <w:pPr>
        <w:pStyle w:val="FirstParagraph"/>
      </w:pPr>
      <w:r>
        <w:t xml:space="preserve">This section collects the exclusions and limitations of the plan, each of which applies to every participant.</w:t>
      </w:r>
    </w:p>
    <w:p>
      <w:pPr>
        <w:pStyle w:val="BodyText"/>
      </w:pPr>
      <w:r>
        <w:t xml:space="preserve">Loans are limited to one outstanding loan at a time.</w:t>
      </w:r>
    </w:p>
    <w:bookmarkEnd w:id="18"/>
    <w:bookmarkStart w:id="19" w:name="coverage-during-leave"/>
    <w:p>
      <w:pPr>
        <w:pStyle w:val="Heading2"/>
      </w:pPr>
      <w:r>
        <w:t xml:space="preserve">6. Coverage During Leave</w:t>
      </w:r>
    </w:p>
    <w:p>
      <w:pPr>
        <w:pStyle w:val="FirstParagraph"/>
      </w:pPr>
      <w:r>
        <w:t xml:space="preserve">Your contributions and the Company match are calculated on eligible compensation actually paid. They therefore continue while a leave is paid, and they are suspended for any period in which no compensation is paid. Your contributions resume automatically at your existing election when pay resumes. If you have a loan outstanding, your repayments during an unpaid period follow the plan’s leave provisions, so contact the plan administrator before an unpaid period begins.</w:t>
      </w:r>
    </w:p>
    <w:bookmarkEnd w:id="19"/>
    <w:bookmarkStart w:id="20" w:name="claims-and-appeals"/>
    <w:p>
      <w:pPr>
        <w:pStyle w:val="Heading2"/>
      </w:pPr>
      <w:r>
        <w:t xml:space="preserve">7. Claims and Appeals</w:t>
      </w:r>
    </w:p>
    <w:p>
      <w:pPr>
        <w:pStyle w:val="FirstParagraph"/>
      </w:pPr>
      <w:r>
        <w:t xml:space="preserve">You ask for a distribution, a loan or a rollover through the plan’s recordkeeper, and most requests are decided without a formal claim. If a request is denied in whole or in part, you receive a written notice giving the reasons, the plan terms the decision relies on, and how to appeal. You may appeal in writing to the plan administrator within 60 days of receiving the notice. The plan administrator decides the appeal within 60 days and tells you the decision in writing, with its reasons.</w:t>
      </w:r>
    </w:p>
    <w:bookmarkEnd w:id="20"/>
    <w:bookmarkStart w:id="21" w:name="plan-administration"/>
    <w:p>
      <w:pPr>
        <w:pStyle w:val="Heading2"/>
      </w:pPr>
      <w:r>
        <w:t xml:space="preserve">8. Plan Administration</w:t>
      </w:r>
    </w:p>
    <w:p>
      <w:pPr>
        <w:pStyle w:val="FirstParagraph"/>
      </w:pPr>
      <w:r>
        <w:t xml:space="preserve">Atticus Dundee Inc. is the plan administrator and may amend or end the plan. The plan’s assets are held in trust for participants and their beneficiaries, and the plan’s recordkeeper keeps the account records and makes your quarterly account statement available to you. The plan document governs if it differs from this summary, and it is held in the HRIS with this document.</w:t>
      </w:r>
    </w:p>
    <w:p>
      <w:pPr>
        <w:pStyle w:val="BodyText"/>
      </w:pPr>
      <w:r>
        <w:t xml:space="preserve">Aviso: Este documento contiene información importante sobre sus beneficios en Atticus Dundee Inc. Si necesita ayuda en español, escriba a peopleops@atticusdundee.example.</w:t>
      </w:r>
    </w:p>
    <w:bookmarkEnd w:id="21"/>
    <w:bookmarkStart w:id="22"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2024-07-01</w:t>
            </w:r>
          </w:p>
        </w:tc>
        <w:tc>
          <w:tcPr/>
          <w:p>
            <w:pPr>
              <w:pStyle w:val="Compact"/>
            </w:pPr>
            <w:r>
              <w:t xml:space="preserve">Summary plan description issued for the benefits plan library.</w:t>
            </w:r>
          </w:p>
        </w:tc>
        <w:tc>
          <w:tcPr/>
          <w:p>
            <w:pPr>
              <w:pStyle w:val="Compact"/>
            </w:pPr>
            <w:r>
              <w:t xml:space="preserve">Priya Raghunathan</w:t>
            </w:r>
          </w:p>
        </w:tc>
      </w:tr>
    </w:tbl>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2026-09-23T18:22:05Z</dcterms:created>
  <dcterms:modified xsi:type="dcterms:W3CDTF">2026-09-23T18:22:05Z</dcterms:modified>
</cp:coreProperties>
</file>

<file path=docProps/custom.xml><?xml version="1.0" encoding="utf-8"?>
<Properties xmlns="http://schemas.openxmlformats.org/officeDocument/2006/custom-properties" xmlns:vt="http://schemas.openxmlformats.org/officeDocument/2006/docPropsVTypes"/>
</file>