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1967cb7059d946514b15a4be854848cb5c6740"/>
    <w:p>
      <w:pPr>
        <w:pStyle w:val="Heading1"/>
      </w:pPr>
      <w:r>
        <w:t xml:space="preserve">Dental and Vision Plan: Summary Plan Description</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ADI-BNF-003</w:t>
            </w:r>
          </w:p>
        </w:tc>
      </w:tr>
      <w:tr>
        <w:tc>
          <w:tcPr/>
          <w:p>
            <w:pPr>
              <w:pStyle w:val="Compact"/>
            </w:pPr>
            <w:r>
              <w:t xml:space="preserve">Version</w:t>
            </w:r>
          </w:p>
        </w:tc>
        <w:tc>
          <w:tcPr/>
          <w:p>
            <w:pPr>
              <w:pStyle w:val="Compact"/>
            </w:pPr>
            <w:r>
              <w:t xml:space="preserve">3.0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2026-01-01</w:t>
            </w:r>
          </w:p>
        </w:tc>
      </w:tr>
      <w:tr>
        <w:tc>
          <w:tcPr/>
          <w:p>
            <w:pPr>
              <w:pStyle w:val="Compact"/>
            </w:pPr>
            <w:r>
              <w:t xml:space="preserve">Last Reviewed</w:t>
            </w:r>
          </w:p>
        </w:tc>
        <w:tc>
          <w:tcPr/>
          <w:p>
            <w:pPr>
              <w:pStyle w:val="Compact"/>
            </w:pPr>
            <w:r>
              <w:t xml:space="preserve">2026-01-01</w:t>
            </w:r>
          </w:p>
        </w:tc>
      </w:tr>
      <w:tr>
        <w:tc>
          <w:tcPr/>
          <w:p>
            <w:pPr>
              <w:pStyle w:val="Compact"/>
            </w:pPr>
            <w:r>
              <w:t xml:space="preserve">Next Review Due</w:t>
            </w:r>
          </w:p>
        </w:tc>
        <w:tc>
          <w:tcPr/>
          <w:p>
            <w:pPr>
              <w:pStyle w:val="Compact"/>
            </w:pPr>
            <w:r>
              <w:t xml:space="preserve">2026-10-01</w:t>
            </w:r>
          </w:p>
        </w:tc>
      </w:tr>
      <w:tr>
        <w:tc>
          <w:tcPr/>
          <w:p>
            <w:pPr>
              <w:pStyle w:val="Compact"/>
            </w:pPr>
            <w:r>
              <w:t xml:space="preserve">Supersedes</w:t>
            </w:r>
          </w:p>
        </w:tc>
        <w:tc>
          <w:tcPr/>
          <w:p>
            <w:pPr>
              <w:pStyle w:val="Compact"/>
            </w:pPr>
            <w:r>
              <w:t xml:space="preserve">ADI-BNF-003 v2.0</w:t>
            </w:r>
          </w:p>
        </w:tc>
      </w:tr>
      <w:tr>
        <w:tc>
          <w:tcPr/>
          <w:p>
            <w:pPr>
              <w:pStyle w:val="Compact"/>
            </w:pPr>
            <w:r>
              <w:t xml:space="preserve">Superseded By</w:t>
            </w:r>
          </w:p>
        </w:tc>
        <w:tc>
          <w:tcPr/>
          <w:p>
            <w:pPr>
              <w:pStyle w:val="Compact"/>
            </w:pPr>
            <w:r>
              <w:t xml:space="preserve">None</w:t>
            </w:r>
          </w:p>
        </w:tc>
      </w:tr>
    </w:tbl>
    <w:bookmarkEnd w:id="9"/>
    <w:bookmarkStart w:id="10" w:name="plan-overview"/>
    <w:p>
      <w:pPr>
        <w:pStyle w:val="Heading2"/>
      </w:pPr>
      <w:r>
        <w:t xml:space="preserve">1. Plan Overview</w:t>
      </w:r>
    </w:p>
    <w:p>
      <w:pPr>
        <w:pStyle w:val="FirstParagraph"/>
      </w:pPr>
      <w:r>
        <w:t xml:space="preserve">The dental and vision plan pays for routine and restorative dental care and for eye exams, lenses, frames and contact lenses for you and your covered dependents. Dental and vision are two lines of coverage that you elect separately, so you may choose dental only, vision only, both or neither. Each line uses its own provider network, listed in the HRIS, and you may also see a provider outside the network. Your share of the premium for each option and coverage tier is shown in the HRIS when you enroll.</w:t>
      </w:r>
    </w:p>
    <w:bookmarkEnd w:id="10"/>
    <w:bookmarkStart w:id="11" w:name="eligibility-and-participation"/>
    <w:p>
      <w:pPr>
        <w:pStyle w:val="Heading2"/>
      </w:pPr>
      <w:r>
        <w:t xml:space="preserve">2. Eligibility and Participation</w:t>
      </w:r>
    </w:p>
    <w:p>
      <w:pPr>
        <w:pStyle w:val="FirstParagraph"/>
      </w:pPr>
      <w:r>
        <w:t xml:space="preserve">You are eligible if you are a regular full-time employee, or a regular part-time employee scheduled for 20 or more hours per week. Coverage begins on the first day of the month following the date of hire. You may also cover your spouse and your children up to age 26. Your coverage and your dependents’ coverage end on the last day of the month in which separation occurs, and you receive continuation coverage information from the plan administrator.</w:t>
      </w:r>
    </w:p>
    <w:bookmarkEnd w:id="11"/>
    <w:bookmarkStart w:id="12" w:name="enrollment-and-changes"/>
    <w:p>
      <w:pPr>
        <w:pStyle w:val="Heading2"/>
      </w:pPr>
      <w:r>
        <w:t xml:space="preserve">3. Enrollment and Changes</w:t>
      </w:r>
    </w:p>
    <w:p>
      <w:pPr>
        <w:pStyle w:val="FirstParagraph"/>
      </w:pPr>
      <w:r>
        <w:t xml:space="preserve">You enroll in the HRIS by choosing whether to elect dental, vision or both, and a coverage tier: employee only, employee and spouse, employee and children, or family. When you elect both lines, they are at the same coverage tier and cover the same dependents. Your election lasts for the whole plan year. You may change it at the next open enrollment, or after a qualifying life event; ADI-BNF-007 sets out which events qualify and how long you have to report them.</w:t>
      </w:r>
    </w:p>
    <w:p>
      <w:pPr>
        <w:pStyle w:val="BodyText"/>
      </w:pPr>
      <w:r>
        <w:t xml:space="preserve">If you add a dependent after a qualifying life event, coverage for that dependent begins on the date of the birth or placement for a birth or adoption, and otherwise on the first day of the month after the change is reported.</w:t>
      </w:r>
    </w:p>
    <w:p>
      <w:pPr>
        <w:pStyle w:val="BodyText"/>
      </w:pPr>
      <w:r>
        <w:t xml:space="preserve">If you waive dental coverage when you are first eligible, you may enroll at a later open enrollment. Major services are not covered during the first 12 months of dental coverage for an employee who waives dental coverage when first eligible and enrolls at a later open enrollment.</w:t>
      </w:r>
    </w:p>
    <w:bookmarkEnd w:id="12"/>
    <w:bookmarkStart w:id="20" w:name="covered-benefits"/>
    <w:p>
      <w:pPr>
        <w:pStyle w:val="Heading2"/>
      </w:pPr>
      <w:r>
        <w:t xml:space="preserve">4. Covered Benefits</w:t>
      </w:r>
    </w:p>
    <w:p>
      <w:pPr>
        <w:pStyle w:val="FirstParagraph"/>
      </w:pPr>
      <w:r>
        <w:t xml:space="preserve">Every benefit below is available to you and to each dependent you cover on the line you elect. The dental line has no deductible. For basic and major services together, the plan pays up to $1,500 per person in each plan year, which is the dental annual maximum; preventive services do not count toward it. The vision line pays the shares and allowances below in network, and out of network it reimburses you on the same terms up to the amount it would have paid in network.</w:t>
      </w:r>
    </w:p>
    <w:bookmarkStart w:id="13" w:name="preventive-services"/>
    <w:p>
      <w:pPr>
        <w:pStyle w:val="Heading3"/>
      </w:pPr>
      <w:r>
        <w:t xml:space="preserve">Preventive services</w:t>
      </w:r>
    </w:p>
    <w:p>
      <w:pPr>
        <w:pStyle w:val="FirstParagraph"/>
      </w:pPr>
      <w:r>
        <w:t xml:space="preserve">Routine cleanings, oral exams and x-rays are covered at 100 percent in network and 80 percent out of network. Preventive services are limited to two cleanings and two exams per plan year.</w:t>
      </w:r>
    </w:p>
    <w:bookmarkEnd w:id="13"/>
    <w:bookmarkStart w:id="14" w:name="basic-services"/>
    <w:p>
      <w:pPr>
        <w:pStyle w:val="Heading3"/>
      </w:pPr>
      <w:r>
        <w:t xml:space="preserve">Basic services</w:t>
      </w:r>
    </w:p>
    <w:p>
      <w:pPr>
        <w:pStyle w:val="FirstParagraph"/>
      </w:pPr>
      <w:r>
        <w:t xml:space="preserve">Fillings, simple extractions, root canal treatment and treatment of the gums are covered. The plan pays 80 percent in network and 60 percent out of network.</w:t>
      </w:r>
    </w:p>
    <w:bookmarkEnd w:id="14"/>
    <w:bookmarkStart w:id="15" w:name="major-services"/>
    <w:p>
      <w:pPr>
        <w:pStyle w:val="Heading3"/>
      </w:pPr>
      <w:r>
        <w:t xml:space="preserve">Major services</w:t>
      </w:r>
    </w:p>
    <w:p>
      <w:pPr>
        <w:pStyle w:val="FirstParagraph"/>
      </w:pPr>
      <w:r>
        <w:t xml:space="preserve">Crowns, bridges, dentures and implants are covered. The plan pays 50 percent in network and 40 percent out of network. Your dentist may ask for an estimate of what the plan will pay before treatment begins, and the plan answers it in writing.</w:t>
      </w:r>
    </w:p>
    <w:bookmarkEnd w:id="15"/>
    <w:bookmarkStart w:id="16" w:name="eye-exams"/>
    <w:p>
      <w:pPr>
        <w:pStyle w:val="Heading3"/>
      </w:pPr>
      <w:r>
        <w:t xml:space="preserve">Eye exams</w:t>
      </w:r>
    </w:p>
    <w:p>
      <w:pPr>
        <w:pStyle w:val="FirstParagraph"/>
      </w:pPr>
      <w:r>
        <w:t xml:space="preserve">One routine eye exam every 12 months is covered at 100 percent in network, including the test that sets your prescription.</w:t>
      </w:r>
    </w:p>
    <w:bookmarkEnd w:id="16"/>
    <w:bookmarkStart w:id="17" w:name="eyeglass-lenses"/>
    <w:p>
      <w:pPr>
        <w:pStyle w:val="Heading3"/>
      </w:pPr>
      <w:r>
        <w:t xml:space="preserve">Eyeglass lenses</w:t>
      </w:r>
    </w:p>
    <w:p>
      <w:pPr>
        <w:pStyle w:val="FirstParagraph"/>
      </w:pPr>
      <w:r>
        <w:t xml:space="preserve">One pair of standard eyeglass lenses every 12 months, single vision, bifocal or trifocal, is covered at 100 percent in network. Coatings and tints are paid at the in-network share where the network directory lists them.</w:t>
      </w:r>
    </w:p>
    <w:bookmarkEnd w:id="17"/>
    <w:bookmarkStart w:id="18" w:name="frames"/>
    <w:p>
      <w:pPr>
        <w:pStyle w:val="Heading3"/>
      </w:pPr>
      <w:r>
        <w:t xml:space="preserve">Frames</w:t>
      </w:r>
    </w:p>
    <w:p>
      <w:pPr>
        <w:pStyle w:val="FirstParagraph"/>
      </w:pPr>
      <w:r>
        <w:t xml:space="preserve">The plan pays up to $150 toward frames of your choice. Frames are limited to one pair every 24 months.</w:t>
      </w:r>
    </w:p>
    <w:bookmarkEnd w:id="18"/>
    <w:bookmarkStart w:id="19" w:name="contact-lenses"/>
    <w:p>
      <w:pPr>
        <w:pStyle w:val="Heading3"/>
      </w:pPr>
      <w:r>
        <w:t xml:space="preserve">Contact lenses</w:t>
      </w:r>
    </w:p>
    <w:p>
      <w:pPr>
        <w:pStyle w:val="FirstParagraph"/>
      </w:pPr>
      <w:r>
        <w:t xml:space="preserve">In place of eyeglass lenses, the plan pays up to $150 toward contact lenses and their fitting. Contact lenses are not covered in any 24-month period in which the plan has already paid for a pair of glasses.</w:t>
      </w:r>
    </w:p>
    <w:bookmarkEnd w:id="19"/>
    <w:bookmarkEnd w:id="20"/>
    <w:bookmarkStart w:id="21" w:name="exclusions-and-limitations"/>
    <w:p>
      <w:pPr>
        <w:pStyle w:val="Heading2"/>
      </w:pPr>
      <w:r>
        <w:t xml:space="preserve">5. Exclusions and Limitations</w:t>
      </w:r>
    </w:p>
    <w:p>
      <w:pPr>
        <w:pStyle w:val="FirstParagraph"/>
      </w:pPr>
      <w:r>
        <w:t xml:space="preserve">This section collects the exclusions and limitations of the plan. Each applies to you and to every dependent you cover, in network and out of network.</w:t>
      </w:r>
    </w:p>
    <w:p>
      <w:pPr>
        <w:pStyle w:val="BodyText"/>
      </w:pPr>
      <w:r>
        <w:t xml:space="preserve">Frames are limited to one pair every 24 months.</w:t>
      </w:r>
    </w:p>
    <w:p>
      <w:pPr>
        <w:pStyle w:val="BodyText"/>
      </w:pPr>
      <w:r>
        <w:t xml:space="preserve">Contact lenses are not covered in any 24-month period in which the plan has already paid for a pair of glasses.</w:t>
      </w:r>
    </w:p>
    <w:p>
      <w:pPr>
        <w:pStyle w:val="BodyText"/>
      </w:pPr>
      <w:r>
        <w:t xml:space="preserve">Cosmetic dental procedures are excluded.</w:t>
      </w:r>
    </w:p>
    <w:bookmarkEnd w:id="21"/>
    <w:bookmarkStart w:id="22" w:name="coverage-during-leave"/>
    <w:p>
      <w:pPr>
        <w:pStyle w:val="Heading2"/>
      </w:pPr>
      <w:r>
        <w:t xml:space="preserve">6. Coverage During Leave</w:t>
      </w:r>
    </w:p>
    <w:p>
      <w:pPr>
        <w:pStyle w:val="FirstParagraph"/>
      </w:pPr>
      <w:r>
        <w:t xml:space="preserve">While you are on an approved leave and still receive pay, your coverage continues and your share of the premium is deducted from your pay as usual. If your leave is unpaid, or your paid leave is exhausted, coverage may continue for the duration of the approved leave, and you pay your share of the premium directly to People Operations by the fifth day of each month for which you want coverage. If a payment is more than 30 days late, coverage may lapse, and the Company will send you written notice at least 15 days before the date it would end. Coverage that lapses for non-payment is not reinstated until the next open enrollment or qualifying life event.</w:t>
      </w:r>
    </w:p>
    <w:bookmarkEnd w:id="22"/>
    <w:bookmarkStart w:id="23" w:name="claims-and-appeals"/>
    <w:p>
      <w:pPr>
        <w:pStyle w:val="Heading2"/>
      </w:pPr>
      <w:r>
        <w:t xml:space="preserve">7. Claims and Appeals</w:t>
      </w:r>
    </w:p>
    <w:p>
      <w:pPr>
        <w:pStyle w:val="FirstParagraph"/>
      </w:pPr>
      <w:r>
        <w:t xml:space="preserve">A dentist or eye care provider in the network files claims for you. For care out of network, you submit a claim in the HRIS within 12 months of the date of service, with the provider’s itemized bill, and the plan reimburses you directly.</w:t>
      </w:r>
    </w:p>
    <w:p>
      <w:pPr>
        <w:pStyle w:val="BodyText"/>
      </w:pPr>
      <w:r>
        <w:t xml:space="preserve">If a claim is denied, you receive a written explanation of the reasons and of how to appeal. You may appeal within 180 days, and the claims reviewer named on the certificate of coverage decides the appeal within 60 days and tells you the decision in writing.</w:t>
      </w:r>
    </w:p>
    <w:bookmarkEnd w:id="23"/>
    <w:bookmarkStart w:id="24" w:name="plan-administration"/>
    <w:p>
      <w:pPr>
        <w:pStyle w:val="Heading2"/>
      </w:pPr>
      <w:r>
        <w:t xml:space="preserve">8. Plan Administration</w:t>
      </w:r>
    </w:p>
    <w:p>
      <w:pPr>
        <w:pStyle w:val="FirstParagraph"/>
      </w:pPr>
      <w:r>
        <w:t xml:space="preserve">Atticus Dundee Inc. is the plan administrator and may amend or end the plan. The medical, dental and vision, and life coverages are insured under group policies placed and administered through Millgate Insurance Services, and the insurer for each coverage is named on the certificate of coverage in the HRIS. Your certificate of coverage and the network directories are held in the HRIS with this document, and the certificate of coverage governs if it differs from this summary.</w:t>
      </w:r>
    </w:p>
    <w:p>
      <w:pPr>
        <w:pStyle w:val="BodyText"/>
      </w:pPr>
      <w:r>
        <w:t xml:space="preserve">Aviso: Este documento contiene información importante sobre sus beneficios en Atticus Dundee Inc. Si necesita ayuda en español, escriba a peopleops@atticusdundee.example.</w:t>
      </w:r>
    </w:p>
    <w:bookmarkEnd w:id="24"/>
    <w:bookmarkStart w:id="25"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2024-07-01</w:t>
            </w:r>
          </w:p>
        </w:tc>
        <w:tc>
          <w:tcPr/>
          <w:p>
            <w:pPr>
              <w:pStyle w:val="Compact"/>
            </w:pPr>
            <w:r>
              <w:t xml:space="preserve">Summary plan description issued for the benefits plan library.</w:t>
            </w:r>
          </w:p>
        </w:tc>
        <w:tc>
          <w:tcPr/>
          <w:p>
            <w:pPr>
              <w:pStyle w:val="Compact"/>
            </w:pPr>
            <w:r>
              <w:t xml:space="preserve">Priya Raghunathan</w:t>
            </w:r>
          </w:p>
        </w:tc>
      </w:tr>
      <w:tr>
        <w:tc>
          <w:tcPr/>
          <w:p>
            <w:pPr>
              <w:pStyle w:val="Compact"/>
            </w:pPr>
            <w:r>
              <w:t xml:space="preserve">2.0</w:t>
            </w:r>
          </w:p>
        </w:tc>
        <w:tc>
          <w:tcPr/>
          <w:p>
            <w:pPr>
              <w:pStyle w:val="Compact"/>
            </w:pPr>
            <w:r>
              <w:t xml:space="preserve">2025-01-01</w:t>
            </w:r>
          </w:p>
        </w:tc>
        <w:tc>
          <w:tcPr/>
          <w:p>
            <w:pPr>
              <w:pStyle w:val="Compact"/>
            </w:pPr>
            <w:r>
              <w:t xml:space="preserve">Reissued for the 2025 plan year.</w:t>
            </w:r>
          </w:p>
        </w:tc>
        <w:tc>
          <w:tcPr/>
          <w:p>
            <w:pPr>
              <w:pStyle w:val="Compact"/>
            </w:pPr>
            <w:r>
              <w:t xml:space="preserve">Priya Raghunathan</w:t>
            </w:r>
          </w:p>
        </w:tc>
      </w:tr>
      <w:tr>
        <w:tc>
          <w:tcPr/>
          <w:p>
            <w:pPr>
              <w:pStyle w:val="Compact"/>
            </w:pPr>
            <w:r>
              <w:t xml:space="preserve">3.0</w:t>
            </w:r>
          </w:p>
        </w:tc>
        <w:tc>
          <w:tcPr/>
          <w:p>
            <w:pPr>
              <w:pStyle w:val="Compact"/>
            </w:pPr>
            <w:r>
              <w:t xml:space="preserve">2026-01-01</w:t>
            </w:r>
          </w:p>
        </w:tc>
        <w:tc>
          <w:tcPr/>
          <w:p>
            <w:pPr>
              <w:pStyle w:val="Compact"/>
            </w:pPr>
            <w:r>
              <w:t xml:space="preserve">Reissued for the 2026 plan year.</w:t>
            </w:r>
          </w:p>
        </w:tc>
        <w:tc>
          <w:tcPr/>
          <w:p>
            <w:pPr>
              <w:pStyle w:val="Compact"/>
            </w:pPr>
            <w:r>
              <w:t xml:space="preserve">Priya Raghunathan</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2026-09-23T18:22:05Z</dcterms:created>
  <dcterms:modified xsi:type="dcterms:W3CDTF">2026-09-23T18:22:05Z</dcterms:modified>
</cp:coreProperties>
</file>

<file path=docProps/custom.xml><?xml version="1.0" encoding="utf-8"?>
<Properties xmlns="http://schemas.openxmlformats.org/officeDocument/2006/custom-properties" xmlns:vt="http://schemas.openxmlformats.org/officeDocument/2006/docPropsVTypes"/>
</file>