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2a8161fca76546cac0c4733059b9d233fac7f0"/>
    <w:p>
      <w:pPr>
        <w:pStyle w:val="Heading1"/>
      </w:pPr>
      <w:r>
        <w:t xml:space="preserve">Employee Assistance Program and Learning and Wellness Allowance</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ADI-BNF-006</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ADI-BNF-006 v2.0</w:t>
            </w:r>
          </w:p>
        </w:tc>
      </w:tr>
      <w:tr>
        <w:tc>
          <w:tcPr/>
          <w:p>
            <w:pPr>
              <w:pStyle w:val="Compact"/>
            </w:pPr>
            <w:r>
              <w:t xml:space="preserve">Superseded By</w:t>
            </w:r>
          </w:p>
        </w:tc>
        <w:tc>
          <w:tcPr/>
          <w:p>
            <w:pPr>
              <w:pStyle w:val="Compact"/>
            </w:pPr>
            <w:r>
              <w:t xml:space="preserve">None</w:t>
            </w:r>
          </w:p>
        </w:tc>
      </w:tr>
    </w:tbl>
    <w:bookmarkEnd w:id="9"/>
    <w:bookmarkStart w:id="10" w:name="plan-overview"/>
    <w:p>
      <w:pPr>
        <w:pStyle w:val="Heading2"/>
      </w:pPr>
      <w:r>
        <w:t xml:space="preserve">1. Plan Overview</w:t>
      </w:r>
    </w:p>
    <w:p>
      <w:pPr>
        <w:pStyle w:val="FirstParagraph"/>
      </w:pPr>
      <w:r>
        <w:t xml:space="preserve">This document describes two programs the Company pays for. The employee assistance program gives you confidential counseling and practical help with personal, family, work, legal and financial matters. The learning and wellness allowance reimburses you for courses, books, conferences and wellness activities you choose. Neither program costs you anything.</w:t>
      </w:r>
    </w:p>
    <w:bookmarkEnd w:id="10"/>
    <w:bookmarkStart w:id="11" w:name="eligibility-and-participation"/>
    <w:p>
      <w:pPr>
        <w:pStyle w:val="Heading2"/>
      </w:pPr>
      <w:r>
        <w:t xml:space="preserve">2. Eligibility and Participation</w:t>
      </w:r>
    </w:p>
    <w:p>
      <w:pPr>
        <w:pStyle w:val="FirstParagraph"/>
      </w:pPr>
      <w:r>
        <w:t xml:space="preserve">You are eligible if you are a regular full-time employee, or a regular part-time employee scheduled for 20 or more hours per week, from the first day of the month following the date of hire. The employee assistance program is also open to the people in your household. The learning and wellness allowance is for you alone. Both end on your last day of employment.</w:t>
      </w:r>
    </w:p>
    <w:bookmarkEnd w:id="11"/>
    <w:bookmarkStart w:id="12" w:name="enrollment-and-changes"/>
    <w:p>
      <w:pPr>
        <w:pStyle w:val="Heading2"/>
      </w:pPr>
      <w:r>
        <w:t xml:space="preserve">3. Enrollment and Changes</w:t>
      </w:r>
    </w:p>
    <w:p>
      <w:pPr>
        <w:pStyle w:val="FirstParagraph"/>
      </w:pPr>
      <w:r>
        <w:t xml:space="preserve">There is nothing to elect for either program. You contact the employee assistance program directly, at any hour, using the details in the HRIS. You claim the allowance in the HRIS whenever you have an expense.</w:t>
      </w:r>
    </w:p>
    <w:bookmarkEnd w:id="12"/>
    <w:bookmarkStart w:id="15" w:name="covered-benefits"/>
    <w:p>
      <w:pPr>
        <w:pStyle w:val="Heading2"/>
      </w:pPr>
      <w:r>
        <w:t xml:space="preserve">4. Covered Benefits</w:t>
      </w:r>
    </w:p>
    <w:bookmarkStart w:id="13" w:name="employee-assistance-program"/>
    <w:p>
      <w:pPr>
        <w:pStyle w:val="Heading3"/>
      </w:pPr>
      <w:r>
        <w:t xml:space="preserve">Employee assistance program</w:t>
      </w:r>
    </w:p>
    <w:p>
      <w:pPr>
        <w:pStyle w:val="FirstParagraph"/>
      </w:pPr>
      <w:r>
        <w:t xml:space="preserve">The employee assistance program is provided by an outside provider named in the HRIS. It offers short-term counseling with a licensed counselor, in person or by video, and telephone consultations on legal, financial, parenting and eldercare questions. The Company pays the whole cost, and you pay no share. The employee assistance program is limited to six counseling sessions per issue in each plan year. When you need more help than the program provides, the counselor will help you find care, which your medical coverage may pay for under ADI-BNF-002.</w:t>
      </w:r>
    </w:p>
    <w:bookmarkEnd w:id="13"/>
    <w:bookmarkStart w:id="14" w:name="learning-and-wellness-allowance"/>
    <w:p>
      <w:pPr>
        <w:pStyle w:val="Heading3"/>
      </w:pPr>
      <w:r>
        <w:t xml:space="preserve">Learning and wellness allowance</w:t>
      </w:r>
    </w:p>
    <w:p>
      <w:pPr>
        <w:pStyle w:val="FirstParagraph"/>
      </w:pPr>
      <w:r>
        <w:t xml:space="preserve">The Company reimburses up to $1,000 a calendar year for courses, certifications, books, conference fees, fitness classes and gym access, and other learning and wellness expenses you choose. Conference attendance needs your manager’s approval before you book. The learning and wellness allowance is limited to $1,000 per calendar year, and an unused amount does not carry over.</w:t>
      </w:r>
    </w:p>
    <w:bookmarkEnd w:id="14"/>
    <w:bookmarkEnd w:id="15"/>
    <w:bookmarkStart w:id="16" w:name="exclusions-and-limitations"/>
    <w:p>
      <w:pPr>
        <w:pStyle w:val="Heading2"/>
      </w:pPr>
      <w:r>
        <w:t xml:space="preserve">5. Exclusions and Limitations</w:t>
      </w:r>
    </w:p>
    <w:p>
      <w:pPr>
        <w:pStyle w:val="FirstParagraph"/>
      </w:pPr>
      <w:r>
        <w:t xml:space="preserve">This section collects the exclusions and limitations of these programs, each of which applies to every participant.</w:t>
      </w:r>
    </w:p>
    <w:p>
      <w:pPr>
        <w:pStyle w:val="BodyText"/>
      </w:pPr>
      <w:r>
        <w:t xml:space="preserve">The employee assistance program is limited to six counseling sessions per issue in each plan year.</w:t>
      </w:r>
    </w:p>
    <w:bookmarkEnd w:id="16"/>
    <w:bookmarkStart w:id="17" w:name="coverage-during-leave"/>
    <w:p>
      <w:pPr>
        <w:pStyle w:val="Heading2"/>
      </w:pPr>
      <w:r>
        <w:t xml:space="preserve">6. Coverage During Leave</w:t>
      </w:r>
    </w:p>
    <w:p>
      <w:pPr>
        <w:pStyle w:val="FirstParagraph"/>
      </w:pPr>
      <w:r>
        <w:t xml:space="preserve">The employee assistance program remains open to you and your household throughout an approved leave, whether it is paid or unpaid. You may claim the learning and wellness allowance for an expense you incur while on an approved leave, on the same terms as when you are working.</w:t>
      </w:r>
    </w:p>
    <w:bookmarkEnd w:id="17"/>
    <w:bookmarkStart w:id="18" w:name="claims-and-appeals"/>
    <w:p>
      <w:pPr>
        <w:pStyle w:val="Heading2"/>
      </w:pPr>
      <w:r>
        <w:t xml:space="preserve">7. Claims and Appeals</w:t>
      </w:r>
    </w:p>
    <w:p>
      <w:pPr>
        <w:pStyle w:val="FirstParagraph"/>
      </w:pPr>
      <w:r>
        <w:t xml:space="preserve">The employee assistance program has no claims: you contact it and it arranges the help. To claim the allowance, you submit the receipt in the HRIS within 90 days of the expense, and the reimbursement is paid through payroll. If a claim is denied, you may ask People Operations to review it within 60 days, and People Operations tells you its decision in writing.</w:t>
      </w:r>
    </w:p>
    <w:bookmarkEnd w:id="18"/>
    <w:bookmarkStart w:id="19" w:name="plan-administration"/>
    <w:p>
      <w:pPr>
        <w:pStyle w:val="Heading2"/>
      </w:pPr>
      <w:r>
        <w:t xml:space="preserve">8. Plan Administration</w:t>
      </w:r>
    </w:p>
    <w:p>
      <w:pPr>
        <w:pStyle w:val="FirstParagraph"/>
      </w:pPr>
      <w:r>
        <w:t xml:space="preserve">Atticus Dundee Inc. administers both programs and may amend or end them. The outside provider tells the Company how many people use the employee assistance program, and never who they are or what they discussed.</w:t>
      </w:r>
    </w:p>
    <w:p>
      <w:pPr>
        <w:pStyle w:val="BodyText"/>
      </w:pPr>
      <w:r>
        <w:t xml:space="preserve">Aviso: Este documento contiene información importante sobre sus beneficios en Atticus Dundee Inc. Si necesita ayuda en español, escriba a peopleops@atticusdundee.example.</w:t>
      </w:r>
    </w:p>
    <w:bookmarkEnd w:id="19"/>
    <w:bookmarkStart w:id="20"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Program description issued for the benefits plan library.</w:t>
            </w:r>
          </w:p>
        </w:tc>
        <w:tc>
          <w:tcPr/>
          <w:p>
            <w:pPr>
              <w:pStyle w:val="Compact"/>
            </w:pPr>
            <w:r>
              <w:t xml:space="preserve">Priya Raghunathan</w:t>
            </w:r>
          </w:p>
        </w:tc>
      </w:tr>
      <w:tr>
        <w:tc>
          <w:tcPr/>
          <w:p>
            <w:pPr>
              <w:pStyle w:val="Compact"/>
            </w:pPr>
            <w:r>
              <w:t xml:space="preserve">2.0</w:t>
            </w:r>
          </w:p>
        </w:tc>
        <w:tc>
          <w:tcPr/>
          <w:p>
            <w:pPr>
              <w:pStyle w:val="Compact"/>
            </w:pPr>
            <w:r>
              <w:t xml:space="preserve">2025-01-01</w:t>
            </w:r>
          </w:p>
        </w:tc>
        <w:tc>
          <w:tcPr/>
          <w:p>
            <w:pPr>
              <w:pStyle w:val="Compact"/>
            </w:pPr>
            <w:r>
              <w:t xml:space="preserve">Reissued for the 2025 plan year.</w:t>
            </w:r>
          </w:p>
        </w:tc>
        <w:tc>
          <w:tcPr/>
          <w:p>
            <w:pPr>
              <w:pStyle w:val="Compact"/>
            </w:pPr>
            <w:r>
              <w:t xml:space="preserve">Priya Raghunathan</w:t>
            </w:r>
          </w:p>
        </w:tc>
      </w:tr>
      <w:tr>
        <w:tc>
          <w:tcPr/>
          <w:p>
            <w:pPr>
              <w:pStyle w:val="Compact"/>
            </w:pPr>
            <w:r>
              <w:t xml:space="preserve">3.0</w:t>
            </w:r>
          </w:p>
        </w:tc>
        <w:tc>
          <w:tcPr/>
          <w:p>
            <w:pPr>
              <w:pStyle w:val="Compact"/>
            </w:pPr>
            <w:r>
              <w:t xml:space="preserve">2026-01-01</w:t>
            </w:r>
          </w:p>
        </w:tc>
        <w:tc>
          <w:tcPr/>
          <w:p>
            <w:pPr>
              <w:pStyle w:val="Compact"/>
            </w:pPr>
            <w:r>
              <w:t xml:space="preserve">Reissued for the 2026 plan year.</w:t>
            </w:r>
          </w:p>
        </w:tc>
        <w:tc>
          <w:tcPr/>
          <w:p>
            <w:pPr>
              <w:pStyle w:val="Compact"/>
            </w:pPr>
            <w:r>
              <w:t xml:space="preserve">Priya Raghunathan</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