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pproved-proposal"/>
    <w:p>
      <w:pPr>
        <w:pStyle w:val="Heading1"/>
      </w:pPr>
      <w:r>
        <w:t xml:space="preserve">Approved Proposal</w:t>
      </w:r>
    </w:p>
    <w:p>
      <w:pPr>
        <w:pStyle w:val="FirstParagraph"/>
      </w:pPr>
      <w:r>
        <w:rPr>
          <w:b/>
          <w:bCs/>
        </w:rPr>
        <w:t xml:space="preserve">Studio:</w:t>
      </w:r>
      <w:r>
        <w:t xml:space="preserve"> </w:t>
      </w:r>
      <w:r>
        <w:t xml:space="preserve">Larkspur Design &amp; Build</w:t>
      </w:r>
    </w:p>
    <w:p>
      <w:pPr>
        <w:pStyle w:val="BodyText"/>
      </w:pPr>
      <w:r>
        <w:rPr>
          <w:b/>
          <w:bCs/>
        </w:rPr>
        <w:t xml:space="preserve">Client:</w:t>
      </w:r>
      <w:r>
        <w:t xml:space="preserve"> </w:t>
      </w:r>
      <w:r>
        <w:t xml:space="preserve">The Okafor household</w:t>
      </w:r>
    </w:p>
    <w:p>
      <w:pPr>
        <w:pStyle w:val="BodyText"/>
      </w:pPr>
      <w:r>
        <w:rPr>
          <w:b/>
          <w:bCs/>
        </w:rPr>
        <w:t xml:space="preserve">Property address:</w:t>
      </w:r>
      <w:r>
        <w:t xml:space="preserve"> </w:t>
      </w:r>
      <w:r>
        <w:t xml:space="preserve">327 Havershill Court</w:t>
      </w:r>
    </w:p>
    <w:p>
      <w:pPr>
        <w:pStyle w:val="BodyText"/>
      </w:pPr>
      <w:r>
        <w:rPr>
          <w:b/>
          <w:bCs/>
        </w:rPr>
        <w:t xml:space="preserve">Project name:</w:t>
      </w:r>
      <w:r>
        <w:t xml:space="preserve"> </w:t>
      </w:r>
      <w:r>
        <w:t xml:space="preserve">Okafor kitchen and primary bath renovation</w:t>
      </w:r>
    </w:p>
    <w:p>
      <w:pPr>
        <w:pStyle w:val="BodyText"/>
      </w:pPr>
      <w:r>
        <w:rPr>
          <w:b/>
          <w:bCs/>
        </w:rPr>
        <w:t xml:space="preserve">Proposal number:</w:t>
      </w:r>
      <w:r>
        <w:t xml:space="preserve"> </w:t>
      </w:r>
      <w:r>
        <w:t xml:space="preserve">2026-014</w:t>
      </w:r>
    </w:p>
    <w:p>
      <w:pPr>
        <w:pStyle w:val="BodyText"/>
      </w:pPr>
      <w:r>
        <w:rPr>
          <w:b/>
          <w:bCs/>
        </w:rPr>
        <w:t xml:space="preserve">Proposal date:</w:t>
      </w:r>
      <w:r>
        <w:t xml:space="preserve"> </w:t>
      </w:r>
      <w:r>
        <w:t xml:space="preserve">2 February 2026</w:t>
      </w:r>
    </w:p>
    <w:p>
      <w:pPr>
        <w:pStyle w:val="BodyText"/>
      </w:pPr>
      <w:r>
        <w:rPr>
          <w:b/>
          <w:bCs/>
        </w:rPr>
        <w:t xml:space="preserve">Validity:</w:t>
      </w:r>
      <w:r>
        <w:t xml:space="preserve"> </w:t>
      </w:r>
      <w:r>
        <w:t xml:space="preserve">30 days from the proposal date</w:t>
      </w:r>
    </w:p>
    <w:p>
      <w:pPr>
        <w:pStyle w:val="BodyText"/>
      </w:pPr>
      <w:r>
        <w:rPr>
          <w:b/>
          <w:bCs/>
        </w:rPr>
        <w:t xml:space="preserve">Prepared by:</w:t>
      </w:r>
      <w:r>
        <w:t xml:space="preserve"> </w:t>
      </w:r>
      <w:r>
        <w:t xml:space="preserve">the owner</w:t>
      </w:r>
    </w:p>
    <w:bookmarkStart w:id="9" w:name="scope-of-work"/>
    <w:p>
      <w:pPr>
        <w:pStyle w:val="Heading2"/>
      </w:pPr>
      <w:r>
        <w:t xml:space="preserve">Scope of work</w:t>
      </w:r>
    </w:p>
    <w:p>
      <w:pPr>
        <w:pStyle w:val="FirstParagraph"/>
      </w:pPr>
      <w:r>
        <w:t xml:space="preserve">The kitchen is a full replacement. The existing kitchen comes out to the studs where the layout changes and to the finish surface everywhere else, and what goes back is new throughout: cabinetry along the run and the return, quartz countertops fabricated to the finished cabinet line, tile to the floor and to the wall behind the counter, and paint once the finish carpentry is closed up. Plumbing is rough in and fixture set at the sink position, and electrical is rough in and device set for the outlets, the switching and the lighting the new layout needs.</w:t>
      </w:r>
    </w:p>
    <w:p>
      <w:pPr>
        <w:pStyle w:val="BodyText"/>
      </w:pPr>
      <w:r>
        <w:t xml:space="preserve">The primary bath is a renovation on the existing footprint. Demolition takes the room back to a working substrate, the plumbing rough in and fixture set follows the same trades that carry the kitchen, and the fixture and vanity package is supplied and installed as one lot. Tile runs to the floor and to the wet wall, finish carpentry sets the vanity and the trim, and paint closes the room out. The footprint does not move.</w:t>
      </w:r>
    </w:p>
    <w:p>
      <w:pPr>
        <w:pStyle w:val="BodyText"/>
      </w:pPr>
      <w:r>
        <w:t xml:space="preserve">Both rooms sit under one set of construction documents and one supervision line. Design development and construction documents are produced first and are the basis every trade works to. Project management and supervision runs from demolition to the final finishes and covers trade sequencing, site protection and disposal. A contingency allowance is carried in the bill for the concealed conditions demolition finds. Work outside the kitchen and the primary bath is not in this proposal.</w:t>
      </w:r>
    </w:p>
    <w:bookmarkEnd w:id="9"/>
    <w:bookmarkStart w:id="10" w:name="line-items"/>
    <w:p>
      <w:pPr>
        <w:pStyle w:val="Heading2"/>
      </w:pPr>
      <w:r>
        <w:t xml:space="preserve">Line items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Style w:val="VerbatimChar"/>
              </w:rPr>
              <w:t xml:space="preserve">line_id</w:t>
            </w:r>
          </w:p>
        </w:tc>
        <w:tc>
          <w:tcPr/>
          <w:p>
            <w:pPr>
              <w:pStyle w:val="Compact"/>
            </w:pPr>
            <w:r>
              <w:rPr>
                <w:rStyle w:val="VerbatimChar"/>
              </w:rPr>
              <w:t xml:space="preserve">description</w:t>
            </w:r>
          </w:p>
        </w:tc>
        <w:tc>
          <w:tcPr/>
          <w:p>
            <w:pPr>
              <w:pStyle w:val="Compact"/>
            </w:pPr>
            <w:r>
              <w:rPr>
                <w:rStyle w:val="VerbatimChar"/>
              </w:rPr>
              <w:t xml:space="preserve">rate_id</w:t>
            </w:r>
          </w:p>
        </w:tc>
        <w:tc>
          <w:tcPr/>
          <w:p>
            <w:pPr>
              <w:pStyle w:val="Compact"/>
            </w:pPr>
            <w:r>
              <w:rPr>
                <w:rStyle w:val="VerbatimChar"/>
              </w:rPr>
              <w:t xml:space="preserve">quantity</w:t>
            </w:r>
          </w:p>
        </w:tc>
        <w:tc>
          <w:tcPr/>
          <w:p>
            <w:pPr>
              <w:pStyle w:val="Compact"/>
            </w:pPr>
            <w:r>
              <w:rPr>
                <w:rStyle w:val="VerbatimChar"/>
              </w:rPr>
              <w:t xml:space="preserve">unit</w:t>
            </w:r>
          </w:p>
        </w:tc>
        <w:tc>
          <w:tcPr/>
          <w:p>
            <w:pPr>
              <w:pStyle w:val="Compact"/>
            </w:pPr>
            <w:r>
              <w:rPr>
                <w:rStyle w:val="VerbatimChar"/>
              </w:rPr>
              <w:t xml:space="preserve">unit_rate_usd</w:t>
            </w:r>
          </w:p>
        </w:tc>
        <w:tc>
          <w:tcPr/>
          <w:p>
            <w:pPr>
              <w:pStyle w:val="Compact"/>
            </w:pPr>
            <w:r>
              <w:rPr>
                <w:rStyle w:val="VerbatimChar"/>
              </w:rPr>
              <w:t xml:space="preserve">line_total_usd</w:t>
            </w:r>
          </w:p>
        </w:tc>
      </w:tr>
      <w:tr>
        <w:tc>
          <w:tcPr/>
          <w:p>
            <w:pPr>
              <w:pStyle w:val="Compact"/>
            </w:pPr>
            <w:r>
              <w:rPr>
                <w:rStyle w:val="VerbatimChar"/>
              </w:rPr>
              <w:t xml:space="preserve">PLI-LDB-01</w:t>
            </w:r>
          </w:p>
        </w:tc>
        <w:tc>
          <w:tcPr/>
          <w:p>
            <w:pPr>
              <w:pStyle w:val="Compact"/>
            </w:pPr>
            <w:r>
              <w:t xml:space="preserve">Design development and construction documents</w:t>
            </w:r>
          </w:p>
        </w:tc>
        <w:tc>
          <w:tcPr/>
          <w:p>
            <w:pPr>
              <w:pStyle w:val="Compact"/>
            </w:pPr>
            <w:r>
              <w:rPr>
                <w:rStyle w:val="VerbatimChar"/>
              </w:rPr>
              <w:t xml:space="preserve">RTC-LDB-01</w:t>
            </w:r>
          </w:p>
        </w:tc>
        <w:tc>
          <w:tcPr/>
          <w:p>
            <w:pPr>
              <w:pStyle w:val="Compact"/>
            </w:pPr>
            <w:r>
              <w:t xml:space="preserve">8</w:t>
            </w:r>
          </w:p>
        </w:tc>
        <w:tc>
          <w:tcPr/>
          <w:p>
            <w:pPr>
              <w:pStyle w:val="Compact"/>
            </w:pPr>
            <w:r>
              <w:rPr>
                <w:rStyle w:val="VerbatimChar"/>
              </w:rPr>
              <w:t xml:space="preserve">day</w:t>
            </w:r>
          </w:p>
        </w:tc>
        <w:tc>
          <w:tcPr/>
          <w:p>
            <w:pPr>
              <w:pStyle w:val="Compact"/>
            </w:pPr>
            <w:r>
              <w:rPr>
                <w:rStyle w:val="VerbatimChar"/>
              </w:rPr>
              <w:t xml:space="preserve">1150.00</w:t>
            </w:r>
          </w:p>
        </w:tc>
        <w:tc>
          <w:tcPr/>
          <w:p>
            <w:pPr>
              <w:pStyle w:val="Compact"/>
            </w:pPr>
            <w:r>
              <w:rPr>
                <w:rStyle w:val="VerbatimChar"/>
              </w:rPr>
              <w:t xml:space="preserve">9200.00</w:t>
            </w:r>
          </w:p>
        </w:tc>
      </w:tr>
      <w:tr>
        <w:tc>
          <w:tcPr/>
          <w:p>
            <w:pPr>
              <w:pStyle w:val="Compact"/>
            </w:pPr>
            <w:r>
              <w:rPr>
                <w:rStyle w:val="VerbatimChar"/>
              </w:rPr>
              <w:t xml:space="preserve">PLI-LDB-02</w:t>
            </w:r>
          </w:p>
        </w:tc>
        <w:tc>
          <w:tcPr/>
          <w:p>
            <w:pPr>
              <w:pStyle w:val="Compact"/>
            </w:pPr>
            <w:r>
              <w:t xml:space="preserve">Demolition and disposal</w:t>
            </w:r>
          </w:p>
        </w:tc>
        <w:tc>
          <w:tcPr/>
          <w:p>
            <w:pPr>
              <w:pStyle w:val="Compact"/>
            </w:pPr>
            <w:r>
              <w:rPr>
                <w:rStyle w:val="VerbatimChar"/>
              </w:rPr>
              <w:t xml:space="preserve">RTC-LDB-02</w:t>
            </w:r>
          </w:p>
        </w:tc>
        <w:tc>
          <w:tcPr/>
          <w:p>
            <w:pPr>
              <w:pStyle w:val="Compact"/>
            </w:pPr>
            <w:r>
              <w:t xml:space="preserve">4</w:t>
            </w:r>
          </w:p>
        </w:tc>
        <w:tc>
          <w:tcPr/>
          <w:p>
            <w:pPr>
              <w:pStyle w:val="Compact"/>
            </w:pPr>
            <w:r>
              <w:rPr>
                <w:rStyle w:val="VerbatimChar"/>
              </w:rPr>
              <w:t xml:space="preserve">day</w:t>
            </w:r>
          </w:p>
        </w:tc>
        <w:tc>
          <w:tcPr/>
          <w:p>
            <w:pPr>
              <w:pStyle w:val="Compact"/>
            </w:pPr>
            <w:r>
              <w:rPr>
                <w:rStyle w:val="VerbatimChar"/>
              </w:rPr>
              <w:t xml:space="preserve">1450.00</w:t>
            </w:r>
          </w:p>
        </w:tc>
        <w:tc>
          <w:tcPr/>
          <w:p>
            <w:pPr>
              <w:pStyle w:val="Compact"/>
            </w:pPr>
            <w:r>
              <w:rPr>
                <w:rStyle w:val="VerbatimChar"/>
              </w:rPr>
              <w:t xml:space="preserve">5800.00</w:t>
            </w:r>
          </w:p>
        </w:tc>
      </w:tr>
      <w:tr>
        <w:tc>
          <w:tcPr/>
          <w:p>
            <w:pPr>
              <w:pStyle w:val="Compact"/>
            </w:pPr>
            <w:r>
              <w:rPr>
                <w:rStyle w:val="VerbatimChar"/>
              </w:rPr>
              <w:t xml:space="preserve">PLI-LDB-03</w:t>
            </w:r>
          </w:p>
        </w:tc>
        <w:tc>
          <w:tcPr/>
          <w:p>
            <w:pPr>
              <w:pStyle w:val="Compact"/>
            </w:pPr>
            <w:r>
              <w:t xml:space="preserve">Plumbing rough in and fixture set, subcontract</w:t>
            </w:r>
          </w:p>
        </w:tc>
        <w:tc>
          <w:tcPr/>
          <w:p>
            <w:pPr>
              <w:pStyle w:val="Compact"/>
            </w:pPr>
            <w:r>
              <w:rPr>
                <w:rStyle w:val="VerbatimChar"/>
              </w:rPr>
              <w:t xml:space="preserve">RTC-LDB-03</w:t>
            </w:r>
          </w:p>
        </w:tc>
        <w:tc>
          <w:tcPr/>
          <w:p>
            <w:pPr>
              <w:pStyle w:val="Compact"/>
            </w:pPr>
            <w:r>
              <w:t xml:space="preserve">1</w:t>
            </w:r>
          </w:p>
        </w:tc>
        <w:tc>
          <w:tcPr/>
          <w:p>
            <w:pPr>
              <w:pStyle w:val="Compact"/>
            </w:pPr>
            <w:r>
              <w:rPr>
                <w:rStyle w:val="VerbatimChar"/>
              </w:rPr>
              <w:t xml:space="preserve">lot</w:t>
            </w:r>
          </w:p>
        </w:tc>
        <w:tc>
          <w:tcPr/>
          <w:p>
            <w:pPr>
              <w:pStyle w:val="Compact"/>
            </w:pPr>
            <w:r>
              <w:rPr>
                <w:rStyle w:val="VerbatimChar"/>
              </w:rPr>
              <w:t xml:space="preserve">14600.00</w:t>
            </w:r>
          </w:p>
        </w:tc>
        <w:tc>
          <w:tcPr/>
          <w:p>
            <w:pPr>
              <w:pStyle w:val="Compact"/>
            </w:pPr>
            <w:r>
              <w:rPr>
                <w:rStyle w:val="VerbatimChar"/>
              </w:rPr>
              <w:t xml:space="preserve">14600.00</w:t>
            </w:r>
          </w:p>
        </w:tc>
      </w:tr>
      <w:tr>
        <w:tc>
          <w:tcPr/>
          <w:p>
            <w:pPr>
              <w:pStyle w:val="Compact"/>
            </w:pPr>
            <w:r>
              <w:rPr>
                <w:rStyle w:val="VerbatimChar"/>
              </w:rPr>
              <w:t xml:space="preserve">PLI-LDB-04</w:t>
            </w:r>
          </w:p>
        </w:tc>
        <w:tc>
          <w:tcPr/>
          <w:p>
            <w:pPr>
              <w:pStyle w:val="Compact"/>
            </w:pPr>
            <w:r>
              <w:t xml:space="preserve">Electrical rough in and device set, subcontract</w:t>
            </w:r>
          </w:p>
        </w:tc>
        <w:tc>
          <w:tcPr/>
          <w:p>
            <w:pPr>
              <w:pStyle w:val="Compact"/>
            </w:pPr>
            <w:r>
              <w:rPr>
                <w:rStyle w:val="VerbatimChar"/>
              </w:rPr>
              <w:t xml:space="preserve">RTC-LDB-04</w:t>
            </w:r>
          </w:p>
        </w:tc>
        <w:tc>
          <w:tcPr/>
          <w:p>
            <w:pPr>
              <w:pStyle w:val="Compact"/>
            </w:pPr>
            <w:r>
              <w:t xml:space="preserve">1</w:t>
            </w:r>
          </w:p>
        </w:tc>
        <w:tc>
          <w:tcPr/>
          <w:p>
            <w:pPr>
              <w:pStyle w:val="Compact"/>
            </w:pPr>
            <w:r>
              <w:rPr>
                <w:rStyle w:val="VerbatimChar"/>
              </w:rPr>
              <w:t xml:space="preserve">lot</w:t>
            </w:r>
          </w:p>
        </w:tc>
        <w:tc>
          <w:tcPr/>
          <w:p>
            <w:pPr>
              <w:pStyle w:val="Compact"/>
            </w:pPr>
            <w:r>
              <w:rPr>
                <w:rStyle w:val="VerbatimChar"/>
              </w:rPr>
              <w:t xml:space="preserve">11400.00</w:t>
            </w:r>
          </w:p>
        </w:tc>
        <w:tc>
          <w:tcPr/>
          <w:p>
            <w:pPr>
              <w:pStyle w:val="Compact"/>
            </w:pPr>
            <w:r>
              <w:rPr>
                <w:rStyle w:val="VerbatimChar"/>
              </w:rPr>
              <w:t xml:space="preserve">11400.00</w:t>
            </w:r>
          </w:p>
        </w:tc>
      </w:tr>
      <w:tr>
        <w:tc>
          <w:tcPr/>
          <w:p>
            <w:pPr>
              <w:pStyle w:val="Compact"/>
            </w:pPr>
            <w:r>
              <w:rPr>
                <w:rStyle w:val="VerbatimChar"/>
              </w:rPr>
              <w:t xml:space="preserve">PLI-LDB-05</w:t>
            </w:r>
          </w:p>
        </w:tc>
        <w:tc>
          <w:tcPr/>
          <w:p>
            <w:pPr>
              <w:pStyle w:val="Compact"/>
            </w:pPr>
            <w:r>
              <w:t xml:space="preserve">Kitchen cabinetry, supply</w:t>
            </w:r>
          </w:p>
        </w:tc>
        <w:tc>
          <w:tcPr/>
          <w:p>
            <w:pPr>
              <w:pStyle w:val="Compact"/>
            </w:pPr>
            <w:r>
              <w:rPr>
                <w:rStyle w:val="VerbatimChar"/>
              </w:rPr>
              <w:t xml:space="preserve">RTC-LDB-05</w:t>
            </w:r>
          </w:p>
        </w:tc>
        <w:tc>
          <w:tcPr/>
          <w:p>
            <w:pPr>
              <w:pStyle w:val="Compact"/>
            </w:pPr>
            <w:r>
              <w:t xml:space="preserve">24</w:t>
            </w:r>
          </w:p>
        </w:tc>
        <w:tc>
          <w:tcPr/>
          <w:p>
            <w:pPr>
              <w:pStyle w:val="Compact"/>
            </w:pPr>
            <w:r>
              <w:rPr>
                <w:rStyle w:val="VerbatimChar"/>
              </w:rPr>
              <w:t xml:space="preserve">linear_foot</w:t>
            </w:r>
          </w:p>
        </w:tc>
        <w:tc>
          <w:tcPr/>
          <w:p>
            <w:pPr>
              <w:pStyle w:val="Compact"/>
            </w:pPr>
            <w:r>
              <w:rPr>
                <w:rStyle w:val="VerbatimChar"/>
              </w:rPr>
              <w:t xml:space="preserve">985.00</w:t>
            </w:r>
          </w:p>
        </w:tc>
        <w:tc>
          <w:tcPr/>
          <w:p>
            <w:pPr>
              <w:pStyle w:val="Compact"/>
            </w:pPr>
            <w:r>
              <w:rPr>
                <w:rStyle w:val="VerbatimChar"/>
              </w:rPr>
              <w:t xml:space="preserve">23640.00</w:t>
            </w:r>
          </w:p>
        </w:tc>
      </w:tr>
      <w:tr>
        <w:tc>
          <w:tcPr/>
          <w:p>
            <w:pPr>
              <w:pStyle w:val="Compact"/>
            </w:pPr>
            <w:r>
              <w:rPr>
                <w:rStyle w:val="VerbatimChar"/>
              </w:rPr>
              <w:t xml:space="preserve">PLI-LDB-06</w:t>
            </w:r>
          </w:p>
        </w:tc>
        <w:tc>
          <w:tcPr/>
          <w:p>
            <w:pPr>
              <w:pStyle w:val="Compact"/>
            </w:pPr>
            <w:r>
              <w:t xml:space="preserve">Quartz countertops, supply and fabrication</w:t>
            </w:r>
          </w:p>
        </w:tc>
        <w:tc>
          <w:tcPr/>
          <w:p>
            <w:pPr>
              <w:pStyle w:val="Compact"/>
            </w:pPr>
            <w:r>
              <w:rPr>
                <w:rStyle w:val="VerbatimChar"/>
              </w:rPr>
              <w:t xml:space="preserve">RTC-LDB-06</w:t>
            </w:r>
          </w:p>
        </w:tc>
        <w:tc>
          <w:tcPr/>
          <w:p>
            <w:pPr>
              <w:pStyle w:val="Compact"/>
            </w:pPr>
            <w:r>
              <w:t xml:space="preserve">60</w:t>
            </w:r>
          </w:p>
        </w:tc>
        <w:tc>
          <w:tcPr/>
          <w:p>
            <w:pPr>
              <w:pStyle w:val="Compact"/>
            </w:pPr>
            <w:r>
              <w:rPr>
                <w:rStyle w:val="VerbatimChar"/>
              </w:rPr>
              <w:t xml:space="preserve">square_foot</w:t>
            </w:r>
          </w:p>
        </w:tc>
        <w:tc>
          <w:tcPr/>
          <w:p>
            <w:pPr>
              <w:pStyle w:val="Compact"/>
            </w:pPr>
            <w:r>
              <w:rPr>
                <w:rStyle w:val="VerbatimChar"/>
              </w:rPr>
              <w:t xml:space="preserve">122.00</w:t>
            </w:r>
          </w:p>
        </w:tc>
        <w:tc>
          <w:tcPr/>
          <w:p>
            <w:pPr>
              <w:pStyle w:val="Compact"/>
            </w:pPr>
            <w:r>
              <w:rPr>
                <w:rStyle w:val="VerbatimChar"/>
              </w:rPr>
              <w:t xml:space="preserve">7320.00</w:t>
            </w:r>
          </w:p>
        </w:tc>
      </w:tr>
      <w:tr>
        <w:tc>
          <w:tcPr/>
          <w:p>
            <w:pPr>
              <w:pStyle w:val="Compact"/>
            </w:pPr>
            <w:r>
              <w:rPr>
                <w:rStyle w:val="VerbatimChar"/>
              </w:rPr>
              <w:t xml:space="preserve">PLI-LDB-07</w:t>
            </w:r>
          </w:p>
        </w:tc>
        <w:tc>
          <w:tcPr/>
          <w:p>
            <w:pPr>
              <w:pStyle w:val="Compact"/>
            </w:pPr>
            <w:r>
              <w:t xml:space="preserve">Tile, floor and wall, supply</w:t>
            </w:r>
          </w:p>
        </w:tc>
        <w:tc>
          <w:tcPr/>
          <w:p>
            <w:pPr>
              <w:pStyle w:val="Compact"/>
            </w:pPr>
            <w:r>
              <w:rPr>
                <w:rStyle w:val="VerbatimChar"/>
              </w:rPr>
              <w:t xml:space="preserve">RTC-LDB-07</w:t>
            </w:r>
          </w:p>
        </w:tc>
        <w:tc>
          <w:tcPr/>
          <w:p>
            <w:pPr>
              <w:pStyle w:val="Compact"/>
            </w:pPr>
            <w:r>
              <w:t xml:space="preserve">340</w:t>
            </w:r>
          </w:p>
        </w:tc>
        <w:tc>
          <w:tcPr/>
          <w:p>
            <w:pPr>
              <w:pStyle w:val="Compact"/>
            </w:pPr>
            <w:r>
              <w:rPr>
                <w:rStyle w:val="VerbatimChar"/>
              </w:rPr>
              <w:t xml:space="preserve">square_foot</w:t>
            </w:r>
          </w:p>
        </w:tc>
        <w:tc>
          <w:tcPr/>
          <w:p>
            <w:pPr>
              <w:pStyle w:val="Compact"/>
            </w:pPr>
            <w:r>
              <w:rPr>
                <w:rStyle w:val="VerbatimChar"/>
              </w:rPr>
              <w:t xml:space="preserve">22.50</w:t>
            </w:r>
          </w:p>
        </w:tc>
        <w:tc>
          <w:tcPr/>
          <w:p>
            <w:pPr>
              <w:pStyle w:val="Compact"/>
            </w:pPr>
            <w:r>
              <w:rPr>
                <w:rStyle w:val="VerbatimChar"/>
              </w:rPr>
              <w:t xml:space="preserve">7650.00</w:t>
            </w:r>
          </w:p>
        </w:tc>
      </w:tr>
      <w:tr>
        <w:tc>
          <w:tcPr/>
          <w:p>
            <w:pPr>
              <w:pStyle w:val="Compact"/>
            </w:pPr>
            <w:r>
              <w:rPr>
                <w:rStyle w:val="VerbatimChar"/>
              </w:rPr>
              <w:t xml:space="preserve">PLI-LDB-08</w:t>
            </w:r>
          </w:p>
        </w:tc>
        <w:tc>
          <w:tcPr/>
          <w:p>
            <w:pPr>
              <w:pStyle w:val="Compact"/>
            </w:pPr>
            <w:r>
              <w:t xml:space="preserve">Primary bath fixtures and vanity, supply</w:t>
            </w:r>
          </w:p>
        </w:tc>
        <w:tc>
          <w:tcPr/>
          <w:p>
            <w:pPr>
              <w:pStyle w:val="Compact"/>
            </w:pPr>
            <w:r>
              <w:rPr>
                <w:rStyle w:val="VerbatimChar"/>
              </w:rPr>
              <w:t xml:space="preserve">RTC-LDB-08</w:t>
            </w:r>
          </w:p>
        </w:tc>
        <w:tc>
          <w:tcPr/>
          <w:p>
            <w:pPr>
              <w:pStyle w:val="Compact"/>
            </w:pPr>
            <w:r>
              <w:t xml:space="preserve">1</w:t>
            </w:r>
          </w:p>
        </w:tc>
        <w:tc>
          <w:tcPr/>
          <w:p>
            <w:pPr>
              <w:pStyle w:val="Compact"/>
            </w:pPr>
            <w:r>
              <w:rPr>
                <w:rStyle w:val="VerbatimChar"/>
              </w:rPr>
              <w:t xml:space="preserve">lot</w:t>
            </w:r>
          </w:p>
        </w:tc>
        <w:tc>
          <w:tcPr/>
          <w:p>
            <w:pPr>
              <w:pStyle w:val="Compact"/>
            </w:pPr>
            <w:r>
              <w:rPr>
                <w:rStyle w:val="VerbatimChar"/>
              </w:rPr>
              <w:t xml:space="preserve">9850.00</w:t>
            </w:r>
          </w:p>
        </w:tc>
        <w:tc>
          <w:tcPr/>
          <w:p>
            <w:pPr>
              <w:pStyle w:val="Compact"/>
            </w:pPr>
            <w:r>
              <w:rPr>
                <w:rStyle w:val="VerbatimChar"/>
              </w:rPr>
              <w:t xml:space="preserve">9850.00</w:t>
            </w:r>
          </w:p>
        </w:tc>
      </w:tr>
      <w:tr>
        <w:tc>
          <w:tcPr/>
          <w:p>
            <w:pPr>
              <w:pStyle w:val="Compact"/>
            </w:pPr>
            <w:r>
              <w:rPr>
                <w:rStyle w:val="VerbatimChar"/>
              </w:rPr>
              <w:t xml:space="preserve">PLI-LDB-09</w:t>
            </w:r>
          </w:p>
        </w:tc>
        <w:tc>
          <w:tcPr/>
          <w:p>
            <w:pPr>
              <w:pStyle w:val="Compact"/>
            </w:pPr>
            <w:r>
              <w:t xml:space="preserve">Carpentry and installation labour</w:t>
            </w:r>
          </w:p>
        </w:tc>
        <w:tc>
          <w:tcPr/>
          <w:p>
            <w:pPr>
              <w:pStyle w:val="Compact"/>
            </w:pPr>
            <w:r>
              <w:rPr>
                <w:rStyle w:val="VerbatimChar"/>
              </w:rPr>
              <w:t xml:space="preserve">RTC-LDB-09</w:t>
            </w:r>
          </w:p>
        </w:tc>
        <w:tc>
          <w:tcPr/>
          <w:p>
            <w:pPr>
              <w:pStyle w:val="Compact"/>
            </w:pPr>
            <w:r>
              <w:t xml:space="preserve">45</w:t>
            </w:r>
          </w:p>
        </w:tc>
        <w:tc>
          <w:tcPr/>
          <w:p>
            <w:pPr>
              <w:pStyle w:val="Compact"/>
            </w:pPr>
            <w:r>
              <w:rPr>
                <w:rStyle w:val="VerbatimChar"/>
              </w:rPr>
              <w:t xml:space="preserve">day</w:t>
            </w:r>
          </w:p>
        </w:tc>
        <w:tc>
          <w:tcPr/>
          <w:p>
            <w:pPr>
              <w:pStyle w:val="Compact"/>
            </w:pPr>
            <w:r>
              <w:rPr>
                <w:rStyle w:val="VerbatimChar"/>
              </w:rPr>
              <w:t xml:space="preserve">800.00</w:t>
            </w:r>
          </w:p>
        </w:tc>
        <w:tc>
          <w:tcPr/>
          <w:p>
            <w:pPr>
              <w:pStyle w:val="Compact"/>
            </w:pPr>
            <w:r>
              <w:rPr>
                <w:rStyle w:val="VerbatimChar"/>
              </w:rPr>
              <w:t xml:space="preserve">36000.00</w:t>
            </w:r>
          </w:p>
        </w:tc>
      </w:tr>
      <w:tr>
        <w:tc>
          <w:tcPr/>
          <w:p>
            <w:pPr>
              <w:pStyle w:val="Compact"/>
            </w:pPr>
            <w:r>
              <w:rPr>
                <w:rStyle w:val="VerbatimChar"/>
              </w:rPr>
              <w:t xml:space="preserve">PLI-LDB-10</w:t>
            </w:r>
          </w:p>
        </w:tc>
        <w:tc>
          <w:tcPr/>
          <w:p>
            <w:pPr>
              <w:pStyle w:val="Compact"/>
            </w:pPr>
            <w:r>
              <w:t xml:space="preserve">Paint and final finishes</w:t>
            </w:r>
          </w:p>
        </w:tc>
        <w:tc>
          <w:tcPr/>
          <w:p>
            <w:pPr>
              <w:pStyle w:val="Compact"/>
            </w:pPr>
            <w:r>
              <w:rPr>
                <w:rStyle w:val="VerbatimChar"/>
              </w:rPr>
              <w:t xml:space="preserve">RTC-LDB-10</w:t>
            </w:r>
          </w:p>
        </w:tc>
        <w:tc>
          <w:tcPr/>
          <w:p>
            <w:pPr>
              <w:pStyle w:val="Compact"/>
            </w:pPr>
            <w:r>
              <w:t xml:space="preserve">6</w:t>
            </w:r>
          </w:p>
        </w:tc>
        <w:tc>
          <w:tcPr/>
          <w:p>
            <w:pPr>
              <w:pStyle w:val="Compact"/>
            </w:pPr>
            <w:r>
              <w:rPr>
                <w:rStyle w:val="VerbatimChar"/>
              </w:rPr>
              <w:t xml:space="preserve">day</w:t>
            </w:r>
          </w:p>
        </w:tc>
        <w:tc>
          <w:tcPr/>
          <w:p>
            <w:pPr>
              <w:pStyle w:val="Compact"/>
            </w:pPr>
            <w:r>
              <w:rPr>
                <w:rStyle w:val="VerbatimChar"/>
              </w:rPr>
              <w:t xml:space="preserve">690.00</w:t>
            </w:r>
          </w:p>
        </w:tc>
        <w:tc>
          <w:tcPr/>
          <w:p>
            <w:pPr>
              <w:pStyle w:val="Compact"/>
            </w:pPr>
            <w:r>
              <w:rPr>
                <w:rStyle w:val="VerbatimChar"/>
              </w:rPr>
              <w:t xml:space="preserve">4140.00</w:t>
            </w:r>
          </w:p>
        </w:tc>
      </w:tr>
      <w:tr>
        <w:tc>
          <w:tcPr/>
          <w:p>
            <w:pPr>
              <w:pStyle w:val="Compact"/>
            </w:pPr>
            <w:r>
              <w:rPr>
                <w:rStyle w:val="VerbatimChar"/>
              </w:rPr>
              <w:t xml:space="preserve">PLI-LDB-11</w:t>
            </w:r>
          </w:p>
        </w:tc>
        <w:tc>
          <w:tcPr/>
          <w:p>
            <w:pPr>
              <w:pStyle w:val="Compact"/>
            </w:pPr>
            <w:r>
              <w:t xml:space="preserve">Project management and supervision</w:t>
            </w:r>
          </w:p>
        </w:tc>
        <w:tc>
          <w:tcPr/>
          <w:p>
            <w:pPr>
              <w:pStyle w:val="Compact"/>
            </w:pPr>
            <w:r>
              <w:rPr>
                <w:rStyle w:val="VerbatimChar"/>
              </w:rPr>
              <w:t xml:space="preserve">RTC-LDB-11</w:t>
            </w:r>
          </w:p>
        </w:tc>
        <w:tc>
          <w:tcPr/>
          <w:p>
            <w:pPr>
              <w:pStyle w:val="Compact"/>
            </w:pPr>
            <w:r>
              <w:t xml:space="preserve">12</w:t>
            </w:r>
          </w:p>
        </w:tc>
        <w:tc>
          <w:tcPr/>
          <w:p>
            <w:pPr>
              <w:pStyle w:val="Compact"/>
            </w:pPr>
            <w:r>
              <w:rPr>
                <w:rStyle w:val="VerbatimChar"/>
              </w:rPr>
              <w:t xml:space="preserve">day</w:t>
            </w:r>
          </w:p>
        </w:tc>
        <w:tc>
          <w:tcPr/>
          <w:p>
            <w:pPr>
              <w:pStyle w:val="Compact"/>
            </w:pPr>
            <w:r>
              <w:rPr>
                <w:rStyle w:val="VerbatimChar"/>
              </w:rPr>
              <w:t xml:space="preserve">1200.00</w:t>
            </w:r>
          </w:p>
        </w:tc>
        <w:tc>
          <w:tcPr/>
          <w:p>
            <w:pPr>
              <w:pStyle w:val="Compact"/>
            </w:pPr>
            <w:r>
              <w:rPr>
                <w:rStyle w:val="VerbatimChar"/>
              </w:rPr>
              <w:t xml:space="preserve">14400.00</w:t>
            </w:r>
          </w:p>
        </w:tc>
      </w:tr>
      <w:tr>
        <w:tc>
          <w:tcPr/>
          <w:p>
            <w:pPr>
              <w:pStyle w:val="Compact"/>
            </w:pPr>
            <w:r>
              <w:rPr>
                <w:rStyle w:val="VerbatimChar"/>
              </w:rPr>
              <w:t xml:space="preserve">PLI-LDB-12</w:t>
            </w:r>
          </w:p>
        </w:tc>
        <w:tc>
          <w:tcPr/>
          <w:p>
            <w:pPr>
              <w:pStyle w:val="Compact"/>
            </w:pPr>
            <w:r>
              <w:t xml:space="preserve">Contingency allowance</w:t>
            </w:r>
          </w:p>
        </w:tc>
        <w:tc>
          <w:tcPr/>
          <w:p>
            <w:pPr>
              <w:pStyle w:val="Compact"/>
            </w:pPr>
            <w:r>
              <w:rPr>
                <w:rStyle w:val="VerbatimChar"/>
              </w:rPr>
              <w:t xml:space="preserve">RTC-LDB-12</w:t>
            </w:r>
          </w:p>
        </w:tc>
        <w:tc>
          <w:tcPr/>
          <w:p>
            <w:pPr>
              <w:pStyle w:val="Compact"/>
            </w:pPr>
            <w:r>
              <w:t xml:space="preserve">1</w:t>
            </w:r>
          </w:p>
        </w:tc>
        <w:tc>
          <w:tcPr/>
          <w:p>
            <w:pPr>
              <w:pStyle w:val="Compact"/>
            </w:pPr>
            <w:r>
              <w:rPr>
                <w:rStyle w:val="VerbatimChar"/>
              </w:rPr>
              <w:t xml:space="preserve">lot</w:t>
            </w:r>
          </w:p>
        </w:tc>
        <w:tc>
          <w:tcPr/>
          <w:p>
            <w:pPr>
              <w:pStyle w:val="Compact"/>
            </w:pPr>
            <w:r>
              <w:rPr>
                <w:rStyle w:val="VerbatimChar"/>
              </w:rPr>
              <w:t xml:space="preserve">4500.00</w:t>
            </w:r>
          </w:p>
        </w:tc>
        <w:tc>
          <w:tcPr/>
          <w:p>
            <w:pPr>
              <w:pStyle w:val="Compact"/>
            </w:pPr>
            <w:r>
              <w:rPr>
                <w:rStyle w:val="VerbatimChar"/>
              </w:rPr>
              <w:t xml:space="preserve">4500.00</w:t>
            </w:r>
          </w:p>
        </w:tc>
      </w:tr>
    </w:tbl>
    <w:p>
      <w:pPr>
        <w:pStyle w:val="BodyText"/>
      </w:pPr>
      <w:r>
        <w:t xml:space="preserve">Every line total is the quantity times the unit rate to the cent, and every line item resolves to exactly one rate row of the appendix below.</w:t>
      </w:r>
    </w:p>
    <w:bookmarkEnd w:id="10"/>
    <w:bookmarkStart w:id="11" w:name="total"/>
    <w:p>
      <w:pPr>
        <w:pStyle w:val="Heading2"/>
      </w:pPr>
      <w:r>
        <w:t xml:space="preserve">Total</w:t>
      </w:r>
    </w:p>
    <w:p>
      <w:pPr>
        <w:pStyle w:val="FirstParagraph"/>
      </w:pPr>
      <w:r>
        <w:rPr>
          <w:b/>
          <w:bCs/>
        </w:rPr>
        <w:t xml:space="preserve">Total:</w:t>
      </w:r>
      <w:r>
        <w:rPr>
          <w:b/>
          <w:bCs/>
        </w:rPr>
        <w:t xml:space="preserve"> </w:t>
      </w:r>
      <w:r>
        <w:rPr>
          <w:rStyle w:val="VerbatimChar"/>
          <w:b/>
          <w:bCs/>
        </w:rPr>
        <w:t xml:space="preserve">148500.00</w:t>
      </w:r>
      <w:r>
        <w:t xml:space="preserve">, that is $148,500.00, and that figure is the contract sum this proposal offers.</w:t>
      </w:r>
    </w:p>
    <w:bookmarkEnd w:id="11"/>
    <w:bookmarkStart w:id="12" w:name="rate-basis-appendix"/>
    <w:p>
      <w:pPr>
        <w:pStyle w:val="Heading2"/>
      </w:pPr>
      <w:r>
        <w:t xml:space="preserve">Rate basis appendix</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Style w:val="VerbatimChar"/>
              </w:rPr>
              <w:t xml:space="preserve">rate_id</w:t>
            </w:r>
          </w:p>
        </w:tc>
        <w:tc>
          <w:tcPr/>
          <w:p>
            <w:pPr>
              <w:pStyle w:val="Compact"/>
            </w:pPr>
            <w:r>
              <w:rPr>
                <w:rStyle w:val="VerbatimChar"/>
              </w:rPr>
              <w:t xml:space="preserve">rate_name</w:t>
            </w:r>
          </w:p>
        </w:tc>
        <w:tc>
          <w:tcPr/>
          <w:p>
            <w:pPr>
              <w:pStyle w:val="Compact"/>
            </w:pPr>
            <w:r>
              <w:rPr>
                <w:rStyle w:val="VerbatimChar"/>
              </w:rPr>
              <w:t xml:space="preserve">rate_class</w:t>
            </w:r>
          </w:p>
        </w:tc>
        <w:tc>
          <w:tcPr/>
          <w:p>
            <w:pPr>
              <w:pStyle w:val="Compact"/>
            </w:pPr>
            <w:r>
              <w:rPr>
                <w:rStyle w:val="VerbatimChar"/>
              </w:rPr>
              <w:t xml:space="preserve">unit</w:t>
            </w:r>
          </w:p>
        </w:tc>
        <w:tc>
          <w:tcPr/>
          <w:p>
            <w:pPr>
              <w:pStyle w:val="Compact"/>
            </w:pPr>
            <w:r>
              <w:rPr>
                <w:rStyle w:val="VerbatimChar"/>
              </w:rPr>
              <w:t xml:space="preserve">unit_rate_usd</w:t>
            </w:r>
          </w:p>
        </w:tc>
        <w:tc>
          <w:tcPr/>
          <w:p>
            <w:pPr>
              <w:pStyle w:val="Compact"/>
            </w:pPr>
            <w:r>
              <w:rPr>
                <w:rStyle w:val="VerbatimChar"/>
              </w:rPr>
              <w:t xml:space="preserve">effective_from</w:t>
            </w:r>
          </w:p>
        </w:tc>
        <w:tc>
          <w:tcPr/>
          <w:p>
            <w:pPr>
              <w:pStyle w:val="Compact"/>
            </w:pPr>
            <w:r>
              <w:rPr>
                <w:rStyle w:val="VerbatimChar"/>
              </w:rPr>
              <w:t xml:space="preserve">effective_through</w:t>
            </w:r>
          </w:p>
        </w:tc>
      </w:tr>
      <w:tr>
        <w:tc>
          <w:tcPr/>
          <w:p>
            <w:pPr>
              <w:pStyle w:val="Compact"/>
            </w:pPr>
            <w:r>
              <w:rPr>
                <w:rStyle w:val="VerbatimChar"/>
              </w:rPr>
              <w:t xml:space="preserve">RTC-LDB-01</w:t>
            </w:r>
          </w:p>
        </w:tc>
        <w:tc>
          <w:tcPr/>
          <w:p>
            <w:pPr>
              <w:pStyle w:val="Compact"/>
            </w:pPr>
            <w:r>
              <w:t xml:space="preserve">Design and documentation day rate</w:t>
            </w:r>
          </w:p>
        </w:tc>
        <w:tc>
          <w:tcPr/>
          <w:p>
            <w:pPr>
              <w:pStyle w:val="Compact"/>
            </w:pPr>
            <w:r>
              <w:rPr>
                <w:rStyle w:val="VerbatimChar"/>
              </w:rPr>
              <w:t xml:space="preserve">labour</w:t>
            </w:r>
          </w:p>
        </w:tc>
        <w:tc>
          <w:tcPr/>
          <w:p>
            <w:pPr>
              <w:pStyle w:val="Compact"/>
            </w:pPr>
            <w:r>
              <w:rPr>
                <w:rStyle w:val="VerbatimChar"/>
              </w:rPr>
              <w:t xml:space="preserve">day</w:t>
            </w:r>
          </w:p>
        </w:tc>
        <w:tc>
          <w:tcPr/>
          <w:p>
            <w:pPr>
              <w:pStyle w:val="Compact"/>
            </w:pPr>
            <w:r>
              <w:rPr>
                <w:rStyle w:val="VerbatimChar"/>
              </w:rPr>
              <w:t xml:space="preserve">1150.00</w:t>
            </w:r>
          </w:p>
        </w:tc>
        <w:tc>
          <w:tcPr/>
          <w:p>
            <w:pPr>
              <w:pStyle w:val="Compact"/>
            </w:pPr>
            <w:r>
              <w:t xml:space="preserve">2025-09-01</w:t>
            </w:r>
          </w:p>
        </w:tc>
        <w:tc>
          <w:tcPr/>
          <w:p>
            <w:pPr>
              <w:pStyle w:val="Compact"/>
            </w:pPr>
          </w:p>
        </w:tc>
      </w:tr>
      <w:tr>
        <w:tc>
          <w:tcPr/>
          <w:p>
            <w:pPr>
              <w:pStyle w:val="Compact"/>
            </w:pPr>
            <w:r>
              <w:rPr>
                <w:rStyle w:val="VerbatimChar"/>
              </w:rPr>
              <w:t xml:space="preserve">RTC-LDB-02</w:t>
            </w:r>
          </w:p>
        </w:tc>
        <w:tc>
          <w:tcPr/>
          <w:p>
            <w:pPr>
              <w:pStyle w:val="Compact"/>
            </w:pPr>
            <w:r>
              <w:t xml:space="preserve">Demolition crew day rate</w:t>
            </w:r>
          </w:p>
        </w:tc>
        <w:tc>
          <w:tcPr/>
          <w:p>
            <w:pPr>
              <w:pStyle w:val="Compact"/>
            </w:pPr>
            <w:r>
              <w:rPr>
                <w:rStyle w:val="VerbatimChar"/>
              </w:rPr>
              <w:t xml:space="preserve">labour</w:t>
            </w:r>
          </w:p>
        </w:tc>
        <w:tc>
          <w:tcPr/>
          <w:p>
            <w:pPr>
              <w:pStyle w:val="Compact"/>
            </w:pPr>
            <w:r>
              <w:rPr>
                <w:rStyle w:val="VerbatimChar"/>
              </w:rPr>
              <w:t xml:space="preserve">day</w:t>
            </w:r>
          </w:p>
        </w:tc>
        <w:tc>
          <w:tcPr/>
          <w:p>
            <w:pPr>
              <w:pStyle w:val="Compact"/>
            </w:pPr>
            <w:r>
              <w:rPr>
                <w:rStyle w:val="VerbatimChar"/>
              </w:rPr>
              <w:t xml:space="preserve">1450.00</w:t>
            </w:r>
          </w:p>
        </w:tc>
        <w:tc>
          <w:tcPr/>
          <w:p>
            <w:pPr>
              <w:pStyle w:val="Compact"/>
            </w:pPr>
            <w:r>
              <w:t xml:space="preserve">2025-09-01</w:t>
            </w:r>
          </w:p>
        </w:tc>
        <w:tc>
          <w:tcPr/>
          <w:p>
            <w:pPr>
              <w:pStyle w:val="Compact"/>
            </w:pPr>
          </w:p>
        </w:tc>
      </w:tr>
      <w:tr>
        <w:tc>
          <w:tcPr/>
          <w:p>
            <w:pPr>
              <w:pStyle w:val="Compact"/>
            </w:pPr>
            <w:r>
              <w:rPr>
                <w:rStyle w:val="VerbatimChar"/>
              </w:rPr>
              <w:t xml:space="preserve">RTC-LDB-03</w:t>
            </w:r>
          </w:p>
        </w:tc>
        <w:tc>
          <w:tcPr/>
          <w:p>
            <w:pPr>
              <w:pStyle w:val="Compact"/>
            </w:pPr>
            <w:r>
              <w:t xml:space="preserve">Plumbing subcontract, kitchen and bath</w:t>
            </w:r>
          </w:p>
        </w:tc>
        <w:tc>
          <w:tcPr/>
          <w:p>
            <w:pPr>
              <w:pStyle w:val="Compact"/>
            </w:pPr>
            <w:r>
              <w:rPr>
                <w:rStyle w:val="VerbatimChar"/>
              </w:rPr>
              <w:t xml:space="preserve">subcontract</w:t>
            </w:r>
          </w:p>
        </w:tc>
        <w:tc>
          <w:tcPr/>
          <w:p>
            <w:pPr>
              <w:pStyle w:val="Compact"/>
            </w:pPr>
            <w:r>
              <w:rPr>
                <w:rStyle w:val="VerbatimChar"/>
              </w:rPr>
              <w:t xml:space="preserve">lot</w:t>
            </w:r>
          </w:p>
        </w:tc>
        <w:tc>
          <w:tcPr/>
          <w:p>
            <w:pPr>
              <w:pStyle w:val="Compact"/>
            </w:pPr>
            <w:r>
              <w:rPr>
                <w:rStyle w:val="VerbatimChar"/>
              </w:rPr>
              <w:t xml:space="preserve">14600.00</w:t>
            </w:r>
          </w:p>
        </w:tc>
        <w:tc>
          <w:tcPr/>
          <w:p>
            <w:pPr>
              <w:pStyle w:val="Compact"/>
            </w:pPr>
            <w:r>
              <w:t xml:space="preserve">2025-11-01</w:t>
            </w:r>
          </w:p>
        </w:tc>
        <w:tc>
          <w:tcPr/>
          <w:p>
            <w:pPr>
              <w:pStyle w:val="Compact"/>
            </w:pPr>
          </w:p>
        </w:tc>
      </w:tr>
      <w:tr>
        <w:tc>
          <w:tcPr/>
          <w:p>
            <w:pPr>
              <w:pStyle w:val="Compact"/>
            </w:pPr>
            <w:r>
              <w:rPr>
                <w:rStyle w:val="VerbatimChar"/>
              </w:rPr>
              <w:t xml:space="preserve">RTC-LDB-04</w:t>
            </w:r>
          </w:p>
        </w:tc>
        <w:tc>
          <w:tcPr/>
          <w:p>
            <w:pPr>
              <w:pStyle w:val="Compact"/>
            </w:pPr>
            <w:r>
              <w:t xml:space="preserve">Electrical subcontract, kitchen and bath</w:t>
            </w:r>
          </w:p>
        </w:tc>
        <w:tc>
          <w:tcPr/>
          <w:p>
            <w:pPr>
              <w:pStyle w:val="Compact"/>
            </w:pPr>
            <w:r>
              <w:rPr>
                <w:rStyle w:val="VerbatimChar"/>
              </w:rPr>
              <w:t xml:space="preserve">subcontract</w:t>
            </w:r>
          </w:p>
        </w:tc>
        <w:tc>
          <w:tcPr/>
          <w:p>
            <w:pPr>
              <w:pStyle w:val="Compact"/>
            </w:pPr>
            <w:r>
              <w:rPr>
                <w:rStyle w:val="VerbatimChar"/>
              </w:rPr>
              <w:t xml:space="preserve">lot</w:t>
            </w:r>
          </w:p>
        </w:tc>
        <w:tc>
          <w:tcPr/>
          <w:p>
            <w:pPr>
              <w:pStyle w:val="Compact"/>
            </w:pPr>
            <w:r>
              <w:rPr>
                <w:rStyle w:val="VerbatimChar"/>
              </w:rPr>
              <w:t xml:space="preserve">11400.00</w:t>
            </w:r>
          </w:p>
        </w:tc>
        <w:tc>
          <w:tcPr/>
          <w:p>
            <w:pPr>
              <w:pStyle w:val="Compact"/>
            </w:pPr>
            <w:r>
              <w:t xml:space="preserve">2025-11-01</w:t>
            </w:r>
          </w:p>
        </w:tc>
        <w:tc>
          <w:tcPr/>
          <w:p>
            <w:pPr>
              <w:pStyle w:val="Compact"/>
            </w:pPr>
          </w:p>
        </w:tc>
      </w:tr>
      <w:tr>
        <w:tc>
          <w:tcPr/>
          <w:p>
            <w:pPr>
              <w:pStyle w:val="Compact"/>
            </w:pPr>
            <w:r>
              <w:rPr>
                <w:rStyle w:val="VerbatimChar"/>
              </w:rPr>
              <w:t xml:space="preserve">RTC-LDB-05</w:t>
            </w:r>
          </w:p>
        </w:tc>
        <w:tc>
          <w:tcPr/>
          <w:p>
            <w:pPr>
              <w:pStyle w:val="Compact"/>
            </w:pPr>
            <w:r>
              <w:t xml:space="preserve">Cabinetry supply, per linear foot</w:t>
            </w:r>
          </w:p>
        </w:tc>
        <w:tc>
          <w:tcPr/>
          <w:p>
            <w:pPr>
              <w:pStyle w:val="Compact"/>
            </w:pPr>
            <w:r>
              <w:rPr>
                <w:rStyle w:val="VerbatimChar"/>
              </w:rPr>
              <w:t xml:space="preserve">materials</w:t>
            </w:r>
          </w:p>
        </w:tc>
        <w:tc>
          <w:tcPr/>
          <w:p>
            <w:pPr>
              <w:pStyle w:val="Compact"/>
            </w:pPr>
            <w:r>
              <w:rPr>
                <w:rStyle w:val="VerbatimChar"/>
              </w:rPr>
              <w:t xml:space="preserve">linear_foot</w:t>
            </w:r>
          </w:p>
        </w:tc>
        <w:tc>
          <w:tcPr/>
          <w:p>
            <w:pPr>
              <w:pStyle w:val="Compact"/>
            </w:pPr>
            <w:r>
              <w:rPr>
                <w:rStyle w:val="VerbatimChar"/>
              </w:rPr>
              <w:t xml:space="preserve">985.00</w:t>
            </w:r>
          </w:p>
        </w:tc>
        <w:tc>
          <w:tcPr/>
          <w:p>
            <w:pPr>
              <w:pStyle w:val="Compact"/>
            </w:pPr>
            <w:r>
              <w:t xml:space="preserve">2025-10-01</w:t>
            </w:r>
          </w:p>
        </w:tc>
        <w:tc>
          <w:tcPr/>
          <w:p>
            <w:pPr>
              <w:pStyle w:val="Compact"/>
            </w:pPr>
            <w:r>
              <w:t xml:space="preserve">2026-03-31</w:t>
            </w:r>
          </w:p>
        </w:tc>
      </w:tr>
      <w:tr>
        <w:tc>
          <w:tcPr/>
          <w:p>
            <w:pPr>
              <w:pStyle w:val="Compact"/>
            </w:pPr>
            <w:r>
              <w:rPr>
                <w:rStyle w:val="VerbatimChar"/>
              </w:rPr>
              <w:t xml:space="preserve">RTC-LDB-06</w:t>
            </w:r>
          </w:p>
        </w:tc>
        <w:tc>
          <w:tcPr/>
          <w:p>
            <w:pPr>
              <w:pStyle w:val="Compact"/>
            </w:pPr>
            <w:r>
              <w:t xml:space="preserve">Quartz supply and fabrication, per square foot</w:t>
            </w:r>
          </w:p>
        </w:tc>
        <w:tc>
          <w:tcPr/>
          <w:p>
            <w:pPr>
              <w:pStyle w:val="Compact"/>
            </w:pPr>
            <w:r>
              <w:rPr>
                <w:rStyle w:val="VerbatimChar"/>
              </w:rPr>
              <w:t xml:space="preserve">materials</w:t>
            </w:r>
          </w:p>
        </w:tc>
        <w:tc>
          <w:tcPr/>
          <w:p>
            <w:pPr>
              <w:pStyle w:val="Compact"/>
            </w:pPr>
            <w:r>
              <w:rPr>
                <w:rStyle w:val="VerbatimChar"/>
              </w:rPr>
              <w:t xml:space="preserve">square_foot</w:t>
            </w:r>
          </w:p>
        </w:tc>
        <w:tc>
          <w:tcPr/>
          <w:p>
            <w:pPr>
              <w:pStyle w:val="Compact"/>
            </w:pPr>
            <w:r>
              <w:rPr>
                <w:rStyle w:val="VerbatimChar"/>
              </w:rPr>
              <w:t xml:space="preserve">122.00</w:t>
            </w:r>
          </w:p>
        </w:tc>
        <w:tc>
          <w:tcPr/>
          <w:p>
            <w:pPr>
              <w:pStyle w:val="Compact"/>
            </w:pPr>
            <w:r>
              <w:t xml:space="preserve">2025-08-01</w:t>
            </w:r>
          </w:p>
        </w:tc>
        <w:tc>
          <w:tcPr/>
          <w:p>
            <w:pPr>
              <w:pStyle w:val="Compact"/>
            </w:pPr>
            <w:r>
              <w:t xml:space="preserve">2025-12-31</w:t>
            </w:r>
          </w:p>
        </w:tc>
      </w:tr>
      <w:tr>
        <w:tc>
          <w:tcPr/>
          <w:p>
            <w:pPr>
              <w:pStyle w:val="Compact"/>
            </w:pPr>
            <w:r>
              <w:rPr>
                <w:rStyle w:val="VerbatimChar"/>
              </w:rPr>
              <w:t xml:space="preserve">RTC-LDB-07</w:t>
            </w:r>
          </w:p>
        </w:tc>
        <w:tc>
          <w:tcPr/>
          <w:p>
            <w:pPr>
              <w:pStyle w:val="Compact"/>
            </w:pPr>
            <w:r>
              <w:t xml:space="preserve">Tile supply, per square foot</w:t>
            </w:r>
          </w:p>
        </w:tc>
        <w:tc>
          <w:tcPr/>
          <w:p>
            <w:pPr>
              <w:pStyle w:val="Compact"/>
            </w:pPr>
            <w:r>
              <w:rPr>
                <w:rStyle w:val="VerbatimChar"/>
              </w:rPr>
              <w:t xml:space="preserve">materials</w:t>
            </w:r>
          </w:p>
        </w:tc>
        <w:tc>
          <w:tcPr/>
          <w:p>
            <w:pPr>
              <w:pStyle w:val="Compact"/>
            </w:pPr>
            <w:r>
              <w:rPr>
                <w:rStyle w:val="VerbatimChar"/>
              </w:rPr>
              <w:t xml:space="preserve">square_foot</w:t>
            </w:r>
          </w:p>
        </w:tc>
        <w:tc>
          <w:tcPr/>
          <w:p>
            <w:pPr>
              <w:pStyle w:val="Compact"/>
            </w:pPr>
            <w:r>
              <w:rPr>
                <w:rStyle w:val="VerbatimChar"/>
              </w:rPr>
              <w:t xml:space="preserve">22.50</w:t>
            </w:r>
          </w:p>
        </w:tc>
        <w:tc>
          <w:tcPr/>
          <w:p>
            <w:pPr>
              <w:pStyle w:val="Compact"/>
            </w:pPr>
            <w:r>
              <w:t xml:space="preserve">2026-01-05</w:t>
            </w:r>
          </w:p>
        </w:tc>
        <w:tc>
          <w:tcPr/>
          <w:p>
            <w:pPr>
              <w:pStyle w:val="Compact"/>
            </w:pPr>
            <w:r>
              <w:t xml:space="preserve">2026-06-30</w:t>
            </w:r>
          </w:p>
        </w:tc>
      </w:tr>
      <w:tr>
        <w:tc>
          <w:tcPr/>
          <w:p>
            <w:pPr>
              <w:pStyle w:val="Compact"/>
            </w:pPr>
            <w:r>
              <w:rPr>
                <w:rStyle w:val="VerbatimChar"/>
              </w:rPr>
              <w:t xml:space="preserve">RTC-LDB-08</w:t>
            </w:r>
          </w:p>
        </w:tc>
        <w:tc>
          <w:tcPr/>
          <w:p>
            <w:pPr>
              <w:pStyle w:val="Compact"/>
            </w:pPr>
            <w:r>
              <w:t xml:space="preserve">Bath fixture and vanity package</w:t>
            </w:r>
          </w:p>
        </w:tc>
        <w:tc>
          <w:tcPr/>
          <w:p>
            <w:pPr>
              <w:pStyle w:val="Compact"/>
            </w:pPr>
            <w:r>
              <w:rPr>
                <w:rStyle w:val="VerbatimChar"/>
              </w:rPr>
              <w:t xml:space="preserve">materials</w:t>
            </w:r>
          </w:p>
        </w:tc>
        <w:tc>
          <w:tcPr/>
          <w:p>
            <w:pPr>
              <w:pStyle w:val="Compact"/>
            </w:pPr>
            <w:r>
              <w:rPr>
                <w:rStyle w:val="VerbatimChar"/>
              </w:rPr>
              <w:t xml:space="preserve">lot</w:t>
            </w:r>
          </w:p>
        </w:tc>
        <w:tc>
          <w:tcPr/>
          <w:p>
            <w:pPr>
              <w:pStyle w:val="Compact"/>
            </w:pPr>
            <w:r>
              <w:rPr>
                <w:rStyle w:val="VerbatimChar"/>
              </w:rPr>
              <w:t xml:space="preserve">9850.00</w:t>
            </w:r>
          </w:p>
        </w:tc>
        <w:tc>
          <w:tcPr/>
          <w:p>
            <w:pPr>
              <w:pStyle w:val="Compact"/>
            </w:pPr>
            <w:r>
              <w:t xml:space="preserve">2025-10-01</w:t>
            </w:r>
          </w:p>
        </w:tc>
        <w:tc>
          <w:tcPr/>
          <w:p>
            <w:pPr>
              <w:pStyle w:val="Compact"/>
            </w:pPr>
          </w:p>
        </w:tc>
      </w:tr>
      <w:tr>
        <w:tc>
          <w:tcPr/>
          <w:p>
            <w:pPr>
              <w:pStyle w:val="Compact"/>
            </w:pPr>
            <w:r>
              <w:rPr>
                <w:rStyle w:val="VerbatimChar"/>
              </w:rPr>
              <w:t xml:space="preserve">RTC-LDB-09</w:t>
            </w:r>
          </w:p>
        </w:tc>
        <w:tc>
          <w:tcPr/>
          <w:p>
            <w:pPr>
              <w:pStyle w:val="Compact"/>
            </w:pPr>
            <w:r>
              <w:t xml:space="preserve">Carpentry and installation day rate</w:t>
            </w:r>
          </w:p>
        </w:tc>
        <w:tc>
          <w:tcPr/>
          <w:p>
            <w:pPr>
              <w:pStyle w:val="Compact"/>
            </w:pPr>
            <w:r>
              <w:rPr>
                <w:rStyle w:val="VerbatimChar"/>
              </w:rPr>
              <w:t xml:space="preserve">labour</w:t>
            </w:r>
          </w:p>
        </w:tc>
        <w:tc>
          <w:tcPr/>
          <w:p>
            <w:pPr>
              <w:pStyle w:val="Compact"/>
            </w:pPr>
            <w:r>
              <w:rPr>
                <w:rStyle w:val="VerbatimChar"/>
              </w:rPr>
              <w:t xml:space="preserve">day</w:t>
            </w:r>
          </w:p>
        </w:tc>
        <w:tc>
          <w:tcPr/>
          <w:p>
            <w:pPr>
              <w:pStyle w:val="Compact"/>
            </w:pPr>
            <w:r>
              <w:rPr>
                <w:rStyle w:val="VerbatimChar"/>
              </w:rPr>
              <w:t xml:space="preserve">800.00</w:t>
            </w:r>
          </w:p>
        </w:tc>
        <w:tc>
          <w:tcPr/>
          <w:p>
            <w:pPr>
              <w:pStyle w:val="Compact"/>
            </w:pPr>
            <w:r>
              <w:t xml:space="preserve">2025-09-01</w:t>
            </w:r>
          </w:p>
        </w:tc>
        <w:tc>
          <w:tcPr/>
          <w:p>
            <w:pPr>
              <w:pStyle w:val="Compact"/>
            </w:pPr>
          </w:p>
        </w:tc>
      </w:tr>
      <w:tr>
        <w:tc>
          <w:tcPr/>
          <w:p>
            <w:pPr>
              <w:pStyle w:val="Compact"/>
            </w:pPr>
            <w:r>
              <w:rPr>
                <w:rStyle w:val="VerbatimChar"/>
              </w:rPr>
              <w:t xml:space="preserve">RTC-LDB-10</w:t>
            </w:r>
          </w:p>
        </w:tc>
        <w:tc>
          <w:tcPr/>
          <w:p>
            <w:pPr>
              <w:pStyle w:val="Compact"/>
            </w:pPr>
            <w:r>
              <w:t xml:space="preserve">Paint and finishes day rate</w:t>
            </w:r>
          </w:p>
        </w:tc>
        <w:tc>
          <w:tcPr/>
          <w:p>
            <w:pPr>
              <w:pStyle w:val="Compact"/>
            </w:pPr>
            <w:r>
              <w:rPr>
                <w:rStyle w:val="VerbatimChar"/>
              </w:rPr>
              <w:t xml:space="preserve">labour</w:t>
            </w:r>
          </w:p>
        </w:tc>
        <w:tc>
          <w:tcPr/>
          <w:p>
            <w:pPr>
              <w:pStyle w:val="Compact"/>
            </w:pPr>
            <w:r>
              <w:rPr>
                <w:rStyle w:val="VerbatimChar"/>
              </w:rPr>
              <w:t xml:space="preserve">day</w:t>
            </w:r>
          </w:p>
        </w:tc>
        <w:tc>
          <w:tcPr/>
          <w:p>
            <w:pPr>
              <w:pStyle w:val="Compact"/>
            </w:pPr>
            <w:r>
              <w:rPr>
                <w:rStyle w:val="VerbatimChar"/>
              </w:rPr>
              <w:t xml:space="preserve">690.00</w:t>
            </w:r>
          </w:p>
        </w:tc>
        <w:tc>
          <w:tcPr/>
          <w:p>
            <w:pPr>
              <w:pStyle w:val="Compact"/>
            </w:pPr>
            <w:r>
              <w:t xml:space="preserve">2025-09-01</w:t>
            </w:r>
          </w:p>
        </w:tc>
        <w:tc>
          <w:tcPr/>
          <w:p>
            <w:pPr>
              <w:pStyle w:val="Compact"/>
            </w:pPr>
          </w:p>
        </w:tc>
      </w:tr>
      <w:tr>
        <w:tc>
          <w:tcPr/>
          <w:p>
            <w:pPr>
              <w:pStyle w:val="Compact"/>
            </w:pPr>
            <w:r>
              <w:rPr>
                <w:rStyle w:val="VerbatimChar"/>
              </w:rPr>
              <w:t xml:space="preserve">RTC-LDB-11</w:t>
            </w:r>
          </w:p>
        </w:tc>
        <w:tc>
          <w:tcPr/>
          <w:p>
            <w:pPr>
              <w:pStyle w:val="Compact"/>
            </w:pPr>
            <w:r>
              <w:t xml:space="preserve">Project management day rate</w:t>
            </w:r>
          </w:p>
        </w:tc>
        <w:tc>
          <w:tcPr/>
          <w:p>
            <w:pPr>
              <w:pStyle w:val="Compact"/>
            </w:pPr>
            <w:r>
              <w:rPr>
                <w:rStyle w:val="VerbatimChar"/>
              </w:rPr>
              <w:t xml:space="preserve">labour</w:t>
            </w:r>
          </w:p>
        </w:tc>
        <w:tc>
          <w:tcPr/>
          <w:p>
            <w:pPr>
              <w:pStyle w:val="Compact"/>
            </w:pPr>
            <w:r>
              <w:rPr>
                <w:rStyle w:val="VerbatimChar"/>
              </w:rPr>
              <w:t xml:space="preserve">day</w:t>
            </w:r>
          </w:p>
        </w:tc>
        <w:tc>
          <w:tcPr/>
          <w:p>
            <w:pPr>
              <w:pStyle w:val="Compact"/>
            </w:pPr>
            <w:r>
              <w:rPr>
                <w:rStyle w:val="VerbatimChar"/>
              </w:rPr>
              <w:t xml:space="preserve">1200.00</w:t>
            </w:r>
          </w:p>
        </w:tc>
        <w:tc>
          <w:tcPr/>
          <w:p>
            <w:pPr>
              <w:pStyle w:val="Compact"/>
            </w:pPr>
            <w:r>
              <w:t xml:space="preserve">2025-09-01</w:t>
            </w:r>
          </w:p>
        </w:tc>
        <w:tc>
          <w:tcPr/>
          <w:p>
            <w:pPr>
              <w:pStyle w:val="Compact"/>
            </w:pPr>
            <w:r>
              <w:t xml:space="preserve">2026-12-31</w:t>
            </w:r>
          </w:p>
        </w:tc>
      </w:tr>
      <w:tr>
        <w:tc>
          <w:tcPr/>
          <w:p>
            <w:pPr>
              <w:pStyle w:val="Compact"/>
            </w:pPr>
            <w:r>
              <w:rPr>
                <w:rStyle w:val="VerbatimChar"/>
              </w:rPr>
              <w:t xml:space="preserve">RTC-LDB-12</w:t>
            </w:r>
          </w:p>
        </w:tc>
        <w:tc>
          <w:tcPr/>
          <w:p>
            <w:pPr>
              <w:pStyle w:val="Compact"/>
            </w:pPr>
            <w:r>
              <w:t xml:space="preserve">Contingency allowance basis</w:t>
            </w:r>
          </w:p>
        </w:tc>
        <w:tc>
          <w:tcPr/>
          <w:p>
            <w:pPr>
              <w:pStyle w:val="Compact"/>
            </w:pPr>
            <w:r>
              <w:rPr>
                <w:rStyle w:val="VerbatimChar"/>
              </w:rPr>
              <w:t xml:space="preserve">allowance</w:t>
            </w:r>
          </w:p>
        </w:tc>
        <w:tc>
          <w:tcPr/>
          <w:p>
            <w:pPr>
              <w:pStyle w:val="Compact"/>
            </w:pPr>
            <w:r>
              <w:rPr>
                <w:rStyle w:val="VerbatimChar"/>
              </w:rPr>
              <w:t xml:space="preserve">lot</w:t>
            </w:r>
          </w:p>
        </w:tc>
        <w:tc>
          <w:tcPr/>
          <w:p>
            <w:pPr>
              <w:pStyle w:val="Compact"/>
            </w:pPr>
            <w:r>
              <w:rPr>
                <w:rStyle w:val="VerbatimChar"/>
              </w:rPr>
              <w:t xml:space="preserve">4500.00</w:t>
            </w:r>
          </w:p>
        </w:tc>
        <w:tc>
          <w:tcPr/>
          <w:p>
            <w:pPr>
              <w:pStyle w:val="Compact"/>
            </w:pPr>
            <w:r>
              <w:t xml:space="preserve">2025-09-01</w:t>
            </w:r>
          </w:p>
        </w:tc>
        <w:tc>
          <w:tcPr/>
          <w:p>
            <w:pPr>
              <w:pStyle w:val="Compact"/>
            </w:pPr>
          </w:p>
        </w:tc>
      </w:tr>
    </w:tbl>
    <w:p>
      <w:pPr>
        <w:pStyle w:val="BodyText"/>
      </w:pPr>
      <w:r>
        <w:t xml:space="preserve">This appendix is the basis the bill above was priced from, printed so the client can read the price rather than take it. Four of the twelve rate rows carry a stated</w:t>
      </w:r>
      <w:r>
        <w:t xml:space="preserve"> </w:t>
      </w:r>
      <w:r>
        <w:rPr>
          <w:rStyle w:val="VerbatimChar"/>
        </w:rPr>
        <w:t xml:space="preserve">effective_through</w:t>
      </w:r>
      <w:r>
        <w:t xml:space="preserve"> </w:t>
      </w:r>
      <w:r>
        <w:t xml:space="preserve">date, three of them in the</w:t>
      </w:r>
      <w:r>
        <w:t xml:space="preserve"> </w:t>
      </w:r>
      <w:r>
        <w:rPr>
          <w:rStyle w:val="VerbatimChar"/>
        </w:rPr>
        <w:t xml:space="preserve">materials</w:t>
      </w:r>
      <w:r>
        <w:t xml:space="preserve"> </w:t>
      </w:r>
      <w:r>
        <w:t xml:space="preserve">rate class and one in</w:t>
      </w:r>
      <w:r>
        <w:t xml:space="preserve"> </w:t>
      </w:r>
      <w:r>
        <w:rPr>
          <w:rStyle w:val="VerbatimChar"/>
        </w:rPr>
        <w:t xml:space="preserve">labour</w:t>
      </w:r>
      <w:r>
        <w:t xml:space="preserve">. A blank</w:t>
      </w:r>
      <w:r>
        <w:t xml:space="preserve"> </w:t>
      </w:r>
      <w:r>
        <w:rPr>
          <w:rStyle w:val="VerbatimChar"/>
        </w:rPr>
        <w:t xml:space="preserve">effective_through</w:t>
      </w:r>
      <w:r>
        <w:t xml:space="preserve"> </w:t>
      </w:r>
      <w:r>
        <w:t xml:space="preserve">means the rate is open and carries no stated closing date. Every rate row is cited by exactly one line item and every line item cites exactly one rate row.</w:t>
      </w:r>
    </w:p>
    <w:bookmarkEnd w:id="12"/>
    <w:bookmarkStart w:id="13" w:name="allowances-and-exclusions"/>
    <w:p>
      <w:pPr>
        <w:pStyle w:val="Heading2"/>
      </w:pPr>
      <w:r>
        <w:t xml:space="preserve">Allowances and exclusions</w:t>
      </w:r>
    </w:p>
    <w:p>
      <w:pPr>
        <w:pStyle w:val="FirstParagraph"/>
      </w:pPr>
      <w:r>
        <w:t xml:space="preserve">The contingency allowance is carried as line</w:t>
      </w:r>
      <w:r>
        <w:t xml:space="preserve"> </w:t>
      </w:r>
      <w:r>
        <w:rPr>
          <w:rStyle w:val="VerbatimChar"/>
        </w:rPr>
        <w:t xml:space="preserve">PLI-LDB-12</w:t>
      </w:r>
      <w:r>
        <w:t xml:space="preserve"> </w:t>
      </w:r>
      <w:r>
        <w:t xml:space="preserve">at $4,500.00 and it is an allowance rather than a fee. It is drawn against only for concealed conditions that demolition uncovers, it is drawn in writing with the condition described, and any part not drawn by substantial completion is credited back at closeout.</w:t>
      </w:r>
    </w:p>
    <w:p>
      <w:pPr>
        <w:pStyle w:val="BodyText"/>
      </w:pPr>
      <w:r>
        <w:t xml:space="preserve">The cabinetry line is priced per linear foot at the run shown in the construction documents, and the tile line is priced per square foot at the quantity those documents take off. A selection the homeowners make at a higher supply rate than the appendix carries, or a quantity above the take off, is a change to the contract sum rather than a draw against the contingency allowance.</w:t>
      </w:r>
    </w:p>
    <w:p>
      <w:pPr>
        <w:pStyle w:val="BodyText"/>
      </w:pPr>
      <w:r>
        <w:t xml:space="preserve">Excluded from this proposal: work outside the kitchen and the primary bath; structural alteration of any kind; appliances, which the homeowners supply for the studio to set and connect; furnishings and window treatments; and any condition that requires a design change beyond the contingency allowance, which is quoted separately before it starts.</w:t>
      </w:r>
    </w:p>
    <w:bookmarkEnd w:id="13"/>
    <w:bookmarkStart w:id="14" w:name="payment-schedule"/>
    <w:p>
      <w:pPr>
        <w:pStyle w:val="Heading2"/>
      </w:pPr>
      <w:r>
        <w:t xml:space="preserve">Payment schedule</w:t>
      </w:r>
    </w:p>
    <w:p>
      <w:pPr>
        <w:pStyle w:val="FirstParagraph"/>
      </w:pPr>
      <w:r>
        <w:t xml:space="preserve">Terms are</w:t>
      </w:r>
      <w:r>
        <w:t xml:space="preserve"> </w:t>
      </w:r>
      <w:r>
        <w:rPr>
          <w:rStyle w:val="VerbatimChar"/>
        </w:rPr>
        <w:t xml:space="preserve">net_7</w:t>
      </w:r>
      <w:r>
        <w:t xml:space="preserve"> </w:t>
      </w:r>
      <w:r>
        <w:t xml:space="preserve">on each draw, so each draw is due within seven days of the date it is issued. The schedule is four draws stated as percentages of the contract sum, with the figures following.</w:t>
      </w:r>
    </w:p>
    <w:p>
      <w:pPr>
        <w:pStyle w:val="Compact"/>
        <w:numPr>
          <w:ilvl w:val="0"/>
          <w:numId w:val="1001"/>
        </w:numPr>
      </w:pPr>
      <w:r>
        <w:t xml:space="preserve">Deposit, issued on contract signing: 20 percent of the contract sum, $29,700.00.</w:t>
      </w:r>
    </w:p>
    <w:p>
      <w:pPr>
        <w:pStyle w:val="Compact"/>
        <w:numPr>
          <w:ilvl w:val="0"/>
          <w:numId w:val="1001"/>
        </w:numPr>
      </w:pPr>
      <w:r>
        <w:t xml:space="preserve">Second draw, issued at demolition complete: 30 percent of the contract sum, $44,550.00.</w:t>
      </w:r>
    </w:p>
    <w:p>
      <w:pPr>
        <w:pStyle w:val="Compact"/>
        <w:numPr>
          <w:ilvl w:val="0"/>
          <w:numId w:val="1001"/>
        </w:numPr>
      </w:pPr>
      <w:r>
        <w:t xml:space="preserve">Third draw, issued at rough in complete: 30 percent of the contract sum, $44,550.00.</w:t>
      </w:r>
    </w:p>
    <w:p>
      <w:pPr>
        <w:pStyle w:val="Compact"/>
        <w:numPr>
          <w:ilvl w:val="0"/>
          <w:numId w:val="1001"/>
        </w:numPr>
      </w:pPr>
      <w:r>
        <w:t xml:space="preserve">Final draw, issued at substantial completion: 20 percent of the contract sum, $29,700.00.</w:t>
      </w:r>
    </w:p>
    <w:p>
      <w:pPr>
        <w:pStyle w:val="FirstParagraph"/>
      </w:pPr>
      <w:r>
        <w:t xml:space="preserve">The four draws sum to the contract sum of $148,500.00. No draw is issued ahead of the stage it is tied to, and the final draw is issued at substantial completion rather than at closeout, so the closeout walk through is never held against a balance. Payments answer these four draws and nothing else: no other charge, fee or rate uplift appears anywhere in this proposal.</w:t>
      </w:r>
    </w:p>
    <w:bookmarkEnd w:id="14"/>
    <w:bookmarkStart w:id="15" w:name="acceptance"/>
    <w:p>
      <w:pPr>
        <w:pStyle w:val="Heading2"/>
      </w:pPr>
      <w:r>
        <w:t xml:space="preserve">Acceptance</w:t>
      </w:r>
    </w:p>
    <w:p>
      <w:pPr>
        <w:pStyle w:val="FirstParagraph"/>
      </w:pPr>
      <w:r>
        <w:t xml:space="preserve">This proposal was approved on 2 February 2026, within the 30 day validity that runs from the proposal date.</w:t>
      </w:r>
    </w:p>
    <w:p>
      <w:pPr>
        <w:pStyle w:val="BodyText"/>
      </w:pPr>
      <w:r>
        <w:rPr>
          <w:b/>
          <w:bCs/>
        </w:rPr>
        <w:t xml:space="preserve">Approved for the client:</w:t>
      </w:r>
      <w:r>
        <w:t xml:space="preserve"> </w:t>
      </w:r>
      <w:r>
        <w:t xml:space="preserve">the homeowner, for The Okafor household, on 2 February 2026.</w:t>
      </w:r>
    </w:p>
    <w:p>
      <w:pPr>
        <w:pStyle w:val="BodyText"/>
      </w:pPr>
      <w:r>
        <w:rPr>
          <w:b/>
          <w:bCs/>
        </w:rPr>
        <w:t xml:space="preserve">Accepted for the studio:</w:t>
      </w:r>
      <w:r>
        <w:t xml:space="preserve"> </w:t>
      </w:r>
      <w:r>
        <w:t xml:space="preserve">the owner, on 2 February 2026.</w:t>
      </w:r>
    </w:p>
    <w:p>
      <w:pPr>
        <w:pStyle w:val="BodyText"/>
      </w:pPr>
      <w:r>
        <w:t xml:space="preserve">Approval is recorded by role.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2026-09-14T22:56:37Z</dcterms:created>
  <dcterms:modified xsi:type="dcterms:W3CDTF">2026-09-14T22:56:37Z</dcterms:modified>
</cp:coreProperties>
</file>

<file path=docProps/custom.xml><?xml version="1.0" encoding="utf-8"?>
<Properties xmlns="http://schemas.openxmlformats.org/officeDocument/2006/custom-properties" xmlns:vt="http://schemas.openxmlformats.org/officeDocument/2006/docPropsVTypes"/>
</file>