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ai-drafted-claim-snippets"/>
    <w:p>
      <w:pPr>
        <w:pStyle w:val="Heading1"/>
      </w:pPr>
      <w:r>
        <w:t xml:space="preserve">AI-Drafted Claim Snippets</w:t>
      </w:r>
    </w:p>
    <w:p>
      <w:pPr>
        <w:pStyle w:val="FirstParagraph"/>
      </w:pPr>
      <w:r>
        <w:rPr>
          <w:b/>
          <w:bCs/>
        </w:rPr>
        <w:t xml:space="preserve">Entity:</w:t>
      </w:r>
      <w:r>
        <w:t xml:space="preserve"> </w:t>
      </w:r>
      <w:r>
        <w:t xml:space="preserve">Atticus Dundee Inc.</w:t>
      </w:r>
    </w:p>
    <w:p>
      <w:pPr>
        <w:pStyle w:val="BodyText"/>
      </w:pPr>
      <w:r>
        <w:rPr>
          <w:b/>
          <w:bCs/>
        </w:rPr>
        <w:t xml:space="preserve">Source:</w:t>
      </w:r>
      <w:r>
        <w:t xml:space="preserve"> </w:t>
      </w:r>
      <w:r>
        <w:t xml:space="preserve">the outbound drafting assistant, run of March 24, 2026</w:t>
      </w:r>
    </w:p>
    <w:p>
      <w:pPr>
        <w:pStyle w:val="BodyText"/>
      </w:pPr>
      <w:r>
        <w:rPr>
          <w:b/>
          <w:bCs/>
        </w:rPr>
        <w:t xml:space="preserve">Status:</w:t>
      </w:r>
      <w:r>
        <w:t xml:space="preserve"> </w:t>
      </w:r>
      <w:r>
        <w:t xml:space="preserve">drafted, not reviewed, not sent</w:t>
      </w:r>
    </w:p>
    <w:p>
      <w:pPr>
        <w:pStyle w:val="BodyText"/>
      </w:pPr>
      <w:r>
        <w:rPr>
          <w:b/>
          <w:bCs/>
        </w:rPr>
        <w:t xml:space="preserve">Baseline:</w:t>
      </w:r>
      <w:r>
        <w:t xml:space="preserve"> </w:t>
      </w:r>
      <w:r>
        <w:t xml:space="preserve">the product and security fact sheet claims register</w:t>
      </w:r>
    </w:p>
    <w:p>
      <w:pPr>
        <w:pStyle w:val="BodyText"/>
      </w:pPr>
      <w:r>
        <w:t xml:space="preserve">The four snippets below came back from the outbound drafting assistant. It was given a prospect brief and the product and security fact sheet, and it was asked for short paragraphs an account executive could paste into a reply. They are printed here exactly as the assistant returned them, with the prospect and the sender removed.</w:t>
      </w:r>
    </w:p>
    <w:p>
      <w:pPr>
        <w:pStyle w:val="BodyText"/>
      </w:pPr>
      <w:r>
        <w:t xml:space="preserve">Nothing here has been resolved against the claims register yet, and nothing here has been sent. The register is the baseline: a claim that resolves to a register row may go out as written, and a claim that resolves to no row does not go out at all. Reviewing these four is the job.</w:t>
      </w:r>
    </w:p>
    <w:bookmarkStart w:id="9" w:name="snp-01"/>
    <w:p>
      <w:pPr>
        <w:pStyle w:val="Heading2"/>
      </w:pPr>
      <w:r>
        <w:t xml:space="preserve">SNP-01</w:t>
      </w:r>
    </w:p>
    <w:p>
      <w:pPr>
        <w:pStyle w:val="FirstParagraph"/>
      </w:pPr>
      <w:r>
        <w:t xml:space="preserve">Subject: Security review materials for your evaluation</w:t>
      </w:r>
    </w:p>
    <w:p>
      <w:pPr>
        <w:pStyle w:val="BodyText"/>
      </w:pPr>
      <w:r>
        <w:t xml:space="preserve">Thank you for the time yesterday. To take the security questions your team raised in order: we maintain a current SOC 2 Type II report covering security and availability, and the information security management system that supports the platform is certified to ISO/IEC 27001. Customer content is encrypted in transit and at rest, with TLS 1.2 or higher on the wire and AES-256 in storage. I can send the report and the certificate under a mutual nondisclosure agreement as soon as your reviewer is ready for them.</w:t>
      </w:r>
    </w:p>
    <w:bookmarkEnd w:id="9"/>
    <w:bookmarkStart w:id="10" w:name="snp-02"/>
    <w:p>
      <w:pPr>
        <w:pStyle w:val="Heading2"/>
      </w:pPr>
      <w:r>
        <w:t xml:space="preserve">SNP-02</w:t>
      </w:r>
    </w:p>
    <w:p>
      <w:pPr>
        <w:pStyle w:val="FirstParagraph"/>
      </w:pPr>
      <w:r>
        <w:t xml:space="preserve">Subject: Uptime and cloud controls, as promised</w:t>
      </w:r>
    </w:p>
    <w:p>
      <w:pPr>
        <w:pStyle w:val="BodyText"/>
      </w:pPr>
      <w:r>
        <w:t xml:space="preserve">Following up on the reliability question your operations lead raised at the end of the call. Paid tiers carry a 99.9 percent monthly uptime commitment, and current and historical status sits on a public status page where planned maintenance is announced at least five business days in advance, so your team is never finding out from a dashboard. On the cloud control side, the scope of the ISO/IEC 27001 certification includes the cloud service controls of ISO/IEC 27017, assessed in the same audit cycle. Happy to walk your reviewer through the status history and the audit scope together.</w:t>
      </w:r>
    </w:p>
    <w:bookmarkEnd w:id="10"/>
    <w:bookmarkStart w:id="11" w:name="snp-03"/>
    <w:p>
      <w:pPr>
        <w:pStyle w:val="Heading2"/>
      </w:pPr>
      <w:r>
        <w:t xml:space="preserve">SNP-03</w:t>
      </w:r>
    </w:p>
    <w:p>
      <w:pPr>
        <w:pStyle w:val="FirstParagraph"/>
      </w:pPr>
      <w:r>
        <w:t xml:space="preserve">Subject: Answers on internal access and audit logging</w:t>
      </w:r>
    </w:p>
    <w:p>
      <w:pPr>
        <w:pStyle w:val="BodyText"/>
      </w:pPr>
      <w:r>
        <w:t xml:space="preserve">Two answers from the procurement questionnaire that I said I would put in writing. Employee access to customer content is limited to named support and engineering roles, requires an approved ticket, is time limited, and is logged, so nobody on our side is sitting on standing access to your tenant. Administrative actions inside the product are written to a tenant audit log retained for twelve months, and your administrators, not ours, hold the roles that decide who can take those actions. Our corporate information technology environment also holds a current Cyber Essentials certification, renewed each year, which covers the laptops and identity systems those support engineers work from.</w:t>
      </w:r>
    </w:p>
    <w:bookmarkEnd w:id="11"/>
    <w:bookmarkStart w:id="12" w:name="snp-04"/>
    <w:p>
      <w:pPr>
        <w:pStyle w:val="Heading2"/>
      </w:pPr>
      <w:r>
        <w:t xml:space="preserve">SNP-04</w:t>
      </w:r>
    </w:p>
    <w:p>
      <w:pPr>
        <w:pStyle w:val="FirstParagraph"/>
      </w:pPr>
      <w:r>
        <w:t xml:space="preserve">Subject: Public sector and data residency questions</w:t>
      </w:r>
    </w:p>
    <w:p>
      <w:pPr>
        <w:pStyle w:val="BodyText"/>
      </w:pPr>
      <w:r>
        <w:t xml:space="preserve">On the two items your legal team flagged. A data processing addendum incorporating the current standard contractual clauses is available for every paid tier, and content for customers in the European Union and the United Kingdom is stored in a European Union region. For the public sector opportunity you mentioned, the platform is FedRAMP Authorized, so your agency sponsor can buy it on that basis without standing up a separate authorization of their own. I can put the addendum and the authorization package in front of your reviewer this week.</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2026-09-05T13:22:34Z</dcterms:created>
  <dcterms:modified xsi:type="dcterms:W3CDTF">2026-09-05T13:22:34Z</dcterms:modified>
</cp:coreProperties>
</file>

<file path=docProps/custom.xml><?xml version="1.0" encoding="utf-8"?>
<Properties xmlns="http://schemas.openxmlformats.org/officeDocument/2006/custom-properties" xmlns:vt="http://schemas.openxmlformats.org/officeDocument/2006/docPropsVTypes"/>
</file>