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oduct-and-security-fact-sheet"/>
    <w:p>
      <w:pPr>
        <w:pStyle w:val="Heading1"/>
      </w:pPr>
      <w:r>
        <w:t xml:space="preserve">Product and Security Fact Sheet</w:t>
      </w:r>
    </w:p>
    <w:p>
      <w:pPr>
        <w:pStyle w:val="FirstParagraph"/>
      </w:pPr>
      <w:r>
        <w:rPr>
          <w:b/>
          <w:bCs/>
        </w:rPr>
        <w:t xml:space="preserve">Entity:</w:t>
      </w:r>
      <w:r>
        <w:t xml:space="preserve"> </w:t>
      </w:r>
      <w:r>
        <w:t xml:space="preserve">Atticus Dundee Inc.</w:t>
      </w:r>
    </w:p>
    <w:p>
      <w:pPr>
        <w:pStyle w:val="BodyText"/>
      </w:pPr>
      <w:r>
        <w:rPr>
          <w:b/>
          <w:bCs/>
        </w:rPr>
        <w:t xml:space="preserve">Maintained by:</w:t>
      </w:r>
      <w:r>
        <w:t xml:space="preserve"> </w:t>
      </w:r>
      <w:r>
        <w:t xml:space="preserve">Chief Information Security Officer</w:t>
      </w:r>
    </w:p>
    <w:p>
      <w:pPr>
        <w:pStyle w:val="BodyText"/>
      </w:pPr>
      <w:r>
        <w:rPr>
          <w:b/>
          <w:bCs/>
        </w:rPr>
        <w:t xml:space="preserve">Last reviewed:</w:t>
      </w:r>
      <w:r>
        <w:t xml:space="preserve"> </w:t>
      </w:r>
      <w:r>
        <w:t xml:space="preserve">March 11, 2026</w:t>
      </w:r>
    </w:p>
    <w:p>
      <w:pPr>
        <w:pStyle w:val="BodyText"/>
      </w:pPr>
      <w:r>
        <w:rPr>
          <w:b/>
          <w:bCs/>
        </w:rPr>
        <w:t xml:space="preserve">Review cadence:</w:t>
      </w:r>
      <w:r>
        <w:t xml:space="preserve"> </w:t>
      </w:r>
      <w:r>
        <w:t xml:space="preserve">quarterly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current, and approved as the maintained baseline for product and security claims</w:t>
      </w:r>
    </w:p>
    <w:bookmarkStart w:id="9" w:name="about-the-product"/>
    <w:p>
      <w:pPr>
        <w:pStyle w:val="Heading2"/>
      </w:pPr>
      <w:r>
        <w:t xml:space="preserve">About the product</w:t>
      </w:r>
    </w:p>
    <w:p>
      <w:pPr>
        <w:pStyle w:val="FirstParagraph"/>
      </w:pPr>
      <w:r>
        <w:t xml:space="preserve">Atticus Dundee Inc. is a business software company of roughly six hundred people. It sells one product to business customers: a workflow and collaboration platform that teams use to run shared work, with a small-team tier for smaller organizations that buy without a procurement process. The product is delivered as a hosted service, and there is no customer-installed edition. This document refers to it as the platform throughout.</w:t>
      </w:r>
    </w:p>
    <w:p>
      <w:pPr>
        <w:pStyle w:val="BodyText"/>
      </w:pPr>
      <w:r>
        <w:t xml:space="preserve">Nothing about the company’s finances appears here. Financial disclosure travels under its own controls and is not a product or security claim.</w:t>
      </w:r>
    </w:p>
    <w:bookmarkEnd w:id="9"/>
    <w:bookmarkStart w:id="10" w:name="how-this-register-is-used"/>
    <w:p>
      <w:pPr>
        <w:pStyle w:val="Heading2"/>
      </w:pPr>
      <w:r>
        <w:t xml:space="preserve">How this register is used</w:t>
      </w:r>
    </w:p>
    <w:p>
      <w:pPr>
        <w:pStyle w:val="FirstParagraph"/>
      </w:pPr>
      <w:r>
        <w:t xml:space="preserve">The register below is the maintained baseline for product and security claims. Anyone answering a security questionnaire, drafting an outbound message, briefing a partner, or reviewing copy that an assistant produced resolves every claim in that text against a row in this register. A claim that resolves to a row may be sent as written. A claim that resolves to no row is not approved, and the reviewer either drops it or brings it here to be added, evidenced, and reviewed first.</w:t>
      </w:r>
    </w:p>
    <w:p>
      <w:pPr>
        <w:pStyle w:val="BodyText"/>
      </w:pPr>
      <w:r>
        <w:t xml:space="preserve">Claims are grouped into five categories: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certification</w:t>
      </w:r>
      <w:r>
        <w:t xml:space="preserve">: an audit report or certification that an independent third party issues to the company.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security-control</w:t>
      </w:r>
      <w:r>
        <w:t xml:space="preserve">: a control the company operates itself.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availability</w:t>
      </w:r>
      <w:r>
        <w:t xml:space="preserve">: a service level or resilience commitment.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data-protection</w:t>
      </w:r>
      <w:r>
        <w:t xml:space="preserve">: a commitment about customer content and personal data.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company</w:t>
      </w:r>
      <w:r>
        <w:t xml:space="preserve">: a fact about the company, or about this register.</w:t>
      </w:r>
    </w:p>
    <w:bookmarkEnd w:id="10"/>
    <w:bookmarkStart w:id="11" w:name="claims-register"/>
    <w:p>
      <w:pPr>
        <w:pStyle w:val="Heading2"/>
      </w:pPr>
      <w:r>
        <w:t xml:space="preserve">Claims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claim_id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FS-01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The company maintains a current SOC 2 Type II report covering the security and availability trust services criteria for the platform. An independent audit firm issues the report once a year, and the company shares it with customers and prospects under a mutual nondisclosure agreement.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FS-02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The information security management system that supports the platform is certified to ISO/IEC 27001. The certificate and the statement of applicability are available on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FS-03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The scope of the ISO/IEC 27001 certification includes the cloud service controls of ISO/IEC 27017, assessed in the same audit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FS-04</w:t>
            </w:r>
          </w:p>
        </w:tc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The corporate information technology environment holds a current Cyber Essentials certification, renewed each year.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FS-05</w:t>
            </w:r>
          </w:p>
        </w:tc>
        <w:tc>
          <w:tcPr/>
          <w:p>
            <w:pPr>
              <w:pStyle w:val="Compact"/>
            </w:pPr>
            <w:r>
              <w:t xml:space="preserve">security-control</w:t>
            </w:r>
          </w:p>
        </w:tc>
        <w:tc>
          <w:tcPr/>
          <w:p>
            <w:pPr>
              <w:pStyle w:val="Compact"/>
            </w:pPr>
            <w:r>
              <w:t xml:space="preserve">Customer content is encrypted in transit and at rest. Transit uses TLS 1.2 or higher, and storage uses AES-256.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FS-06</w:t>
            </w:r>
          </w:p>
        </w:tc>
        <w:tc>
          <w:tcPr/>
          <w:p>
            <w:pPr>
              <w:pStyle w:val="Compact"/>
            </w:pPr>
            <w:r>
              <w:t xml:space="preserve">security-control</w:t>
            </w:r>
          </w:p>
        </w:tc>
        <w:tc>
          <w:tcPr/>
          <w:p>
            <w:pPr>
              <w:pStyle w:val="Compact"/>
            </w:pPr>
            <w:r>
              <w:t xml:space="preserve">Single sign-on through SAML 2.0 and user provisioning through SCIM are available on every paid tier, including the small-team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FS-07</w:t>
            </w:r>
          </w:p>
        </w:tc>
        <w:tc>
          <w:tcPr/>
          <w:p>
            <w:pPr>
              <w:pStyle w:val="Compact"/>
            </w:pPr>
            <w:r>
              <w:t xml:space="preserve">security-control</w:t>
            </w:r>
          </w:p>
        </w:tc>
        <w:tc>
          <w:tcPr/>
          <w:p>
            <w:pPr>
              <w:pStyle w:val="Compact"/>
            </w:pPr>
            <w:r>
              <w:t xml:space="preserve">Permissions inside the product are role based and the customer administers them, and administrative actions are written to a tenant audit log retained for twelve months.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FS-08</w:t>
            </w:r>
          </w:p>
        </w:tc>
        <w:tc>
          <w:tcPr/>
          <w:p>
            <w:pPr>
              <w:pStyle w:val="Compact"/>
            </w:pPr>
            <w:r>
              <w:t xml:space="preserve">security-control</w:t>
            </w:r>
          </w:p>
        </w:tc>
        <w:tc>
          <w:tcPr/>
          <w:p>
            <w:pPr>
              <w:pStyle w:val="Compact"/>
            </w:pPr>
            <w:r>
              <w:t xml:space="preserve">Employee access to customer content is limited to named support and engineering roles, requires an approved ticket, is time limited, and is logged. There is no standing access to a customer tenant.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FS-09</w:t>
            </w:r>
          </w:p>
        </w:tc>
        <w:tc>
          <w:tcPr/>
          <w:p>
            <w:pPr>
              <w:pStyle w:val="Compact"/>
            </w:pPr>
            <w:r>
              <w:t xml:space="preserve">security-control</w:t>
            </w:r>
          </w:p>
        </w:tc>
        <w:tc>
          <w:tcPr/>
          <w:p>
            <w:pPr>
              <w:pStyle w:val="Compact"/>
            </w:pPr>
            <w:r>
              <w:t xml:space="preserve">An independent firm tests the production platform at least once a year, and a summary of the most recent test is available under a mutual nondisclosure agreement.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FS-10</w:t>
            </w:r>
          </w:p>
        </w:tc>
        <w:tc>
          <w:tcPr/>
          <w:p>
            <w:pPr>
              <w:pStyle w:val="Compact"/>
            </w:pPr>
            <w:r>
              <w:t xml:space="preserve">security-control</w:t>
            </w:r>
          </w:p>
        </w:tc>
        <w:tc>
          <w:tcPr/>
          <w:p>
            <w:pPr>
              <w:pStyle w:val="Compact"/>
            </w:pPr>
            <w:r>
              <w:t xml:space="preserve">A confirmed security incident affecting customer content is reported to the affected customers without undue delay, and no later than seventy-two hours after the company confirms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FS-11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Paid tiers carry a 99.9 percent monthly uptime commitment, measured against the published service level terms.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FS-12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Current and historical service status is published on a public status page, and planned maintenance is announced there at least five business days in advance.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FS-13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Production data is backed up daily and retained for thirty days, and restores are exercised every quarter against the documented recovery objectives.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FS-14</w:t>
            </w:r>
          </w:p>
        </w:tc>
        <w:tc>
          <w:tcPr/>
          <w:p>
            <w:pPr>
              <w:pStyle w:val="Compact"/>
            </w:pPr>
            <w:r>
              <w:t xml:space="preserve">data-protection</w:t>
            </w:r>
          </w:p>
        </w:tc>
        <w:tc>
          <w:tcPr/>
          <w:p>
            <w:pPr>
              <w:pStyle w:val="Compact"/>
            </w:pPr>
            <w:r>
              <w:t xml:space="preserve">The storage region for a customer account is chosen when the account is created. Content for customers in the European Union and the United Kingdom is stored in a European Union region, and it is not moved without written customer instruction.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FS-15</w:t>
            </w:r>
          </w:p>
        </w:tc>
        <w:tc>
          <w:tcPr/>
          <w:p>
            <w:pPr>
              <w:pStyle w:val="Compact"/>
            </w:pPr>
            <w:r>
              <w:t xml:space="preserve">data-protection</w:t>
            </w:r>
          </w:p>
        </w:tc>
        <w:tc>
          <w:tcPr/>
          <w:p>
            <w:pPr>
              <w:pStyle w:val="Compact"/>
            </w:pPr>
            <w:r>
              <w:t xml:space="preserve">A data processing addendum incorporating the current standard contractual clauses is available for every paid tier.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FS-16</w:t>
            </w:r>
          </w:p>
        </w:tc>
        <w:tc>
          <w:tcPr/>
          <w:p>
            <w:pPr>
              <w:pStyle w:val="Compact"/>
            </w:pPr>
            <w:r>
              <w:t xml:space="preserve">data-protection</w:t>
            </w:r>
          </w:p>
        </w:tc>
        <w:tc>
          <w:tcPr/>
          <w:p>
            <w:pPr>
              <w:pStyle w:val="Compact"/>
            </w:pPr>
            <w:r>
              <w:t xml:space="preserve">The subprocessors used to deliver the platform are published, and customers receive at least thirty days notice of a change, with a right to object.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FS-17</w:t>
            </w:r>
          </w:p>
        </w:tc>
        <w:tc>
          <w:tcPr/>
          <w:p>
            <w:pPr>
              <w:pStyle w:val="Compact"/>
            </w:pPr>
            <w:r>
              <w:t xml:space="preserve">data-protection</w:t>
            </w:r>
          </w:p>
        </w:tc>
        <w:tc>
          <w:tcPr/>
          <w:p>
            <w:pPr>
              <w:pStyle w:val="Compact"/>
            </w:pPr>
            <w:r>
              <w:t xml:space="preserve">Customer content is not used to train shared machine learning models. An assistive feature that processes customer content does so only for the account that content belongs 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FS-18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The company employs roughly six hundred people and sells a workflow and collaboration platform to business customers, with a small-team tier for smaller organizations.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FS-19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This register is the approved baseline for product and security claims. A claim that does not appear here is not approved for outbound or customer-facing use until it is added and reviewed.</w:t>
            </w:r>
          </w:p>
        </w:tc>
      </w:tr>
    </w:tbl>
    <w:bookmarkEnd w:id="11"/>
    <w:bookmarkStart w:id="12" w:name="what-this-register-does-not-cover"/>
    <w:p>
      <w:pPr>
        <w:pStyle w:val="Heading2"/>
      </w:pPr>
      <w:r>
        <w:t xml:space="preserve">What this register does not cover</w:t>
      </w:r>
    </w:p>
    <w:p>
      <w:pPr>
        <w:pStyle w:val="FirstParagraph"/>
      </w:pPr>
      <w:r>
        <w:t xml:space="preserve">The register states what the company holds and operates today. It does not list a certification, an authorization, or an accreditation that the company is considering, has scoped, has begun, or has merely been asked about by a prospect. If a scheme is not named in a certification row above, the company does not hold it, and no outbound message may say that it does.</w:t>
      </w:r>
    </w:p>
    <w:p>
      <w:pPr>
        <w:pStyle w:val="BodyText"/>
      </w:pPr>
      <w:r>
        <w:t xml:space="preserve">The register also carries no customer name, no competitor name, and no figure from the company’s accounts. A question that needs one of those is answered by the function that owns it, not from this sheet.</w:t>
      </w:r>
    </w:p>
    <w:bookmarkEnd w:id="12"/>
    <w:bookmarkStart w:id="13" w:name="evidence-and-questions"/>
    <w:p>
      <w:pPr>
        <w:pStyle w:val="Heading2"/>
      </w:pPr>
      <w:r>
        <w:t xml:space="preserve">Evidence and questions</w:t>
      </w:r>
    </w:p>
    <w:p>
      <w:pPr>
        <w:pStyle w:val="FirstParagraph"/>
      </w:pPr>
      <w:r>
        <w:t xml:space="preserve">Every row above is backed by a report, a certificate, a control record, or a published page, held by the function that operates the control. Requests for evidence, and proposals to add a row, go to the Chief Information Security Officer.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2026-09-05T13:22:34Z</dcterms:created>
  <dcterms:modified xsi:type="dcterms:W3CDTF">2026-09-05T13:22:34Z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