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recruiter-screen"/>
    <w:p>
      <w:pPr>
        <w:pStyle w:val="Heading1"/>
      </w:pPr>
      <w:r>
        <w:t xml:space="preserve">Interview scorecard: recruiter screen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SCD-2026-0002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recruiter-screen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EMP-0512</w:t>
      </w:r>
    </w:p>
    <w:p>
      <w:pPr>
        <w:pStyle w:val="Compact"/>
        <w:numPr>
          <w:ilvl w:val="0"/>
          <w:numId w:val="1001"/>
        </w:numPr>
      </w:pPr>
      <w:r>
        <w:t xml:space="preserve">Interview date: 2026-03-09</w:t>
      </w:r>
    </w:p>
    <w:p>
      <w:pPr>
        <w:pStyle w:val="Compact"/>
        <w:numPr>
          <w:ilvl w:val="0"/>
          <w:numId w:val="1001"/>
        </w:numPr>
      </w:pPr>
      <w:r>
        <w:t xml:space="preserve">Requested date: 2026-03-09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2026-03-10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 communication (CMP-04)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Keeps change notes in one place, each carrying the before, the after, a date and what breaks for a consumer who does nothing, and rewrote the template beside an analyst from a consuming operations group after that group told her the first versions were unreadable.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Describes every change of shape as a negotiation with people who did not choose to be in it, and gave a deprecation that broke on a weekend as the case that changed her practice. The evidence is her own habit rather than a named joint piece of work.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