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mployee-handbook"/>
    <w:p>
      <w:pPr>
        <w:pStyle w:val="Heading1"/>
      </w:pPr>
      <w:r>
        <w:t xml:space="preserve">Employee Handbook</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ADI-HR-001</w:t>
            </w:r>
          </w:p>
        </w:tc>
      </w:tr>
      <w:tr>
        <w:tc>
          <w:tcPr/>
          <w:p>
            <w:pPr>
              <w:pStyle w:val="Compact"/>
            </w:pPr>
            <w:r>
              <w:t xml:space="preserve">Version</w:t>
            </w:r>
          </w:p>
        </w:tc>
        <w:tc>
          <w:tcPr/>
          <w:p>
            <w:pPr>
              <w:pStyle w:val="Compact"/>
            </w:pPr>
            <w:r>
              <w:t xml:space="preserve">4.2</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2026-07-01</w:t>
            </w:r>
          </w:p>
        </w:tc>
      </w:tr>
      <w:tr>
        <w:tc>
          <w:tcPr/>
          <w:p>
            <w:pPr>
              <w:pStyle w:val="Compact"/>
            </w:pPr>
            <w:r>
              <w:t xml:space="preserve">Last Reviewed</w:t>
            </w:r>
          </w:p>
        </w:tc>
        <w:tc>
          <w:tcPr/>
          <w:p>
            <w:pPr>
              <w:pStyle w:val="Compact"/>
            </w:pPr>
            <w:r>
              <w:t xml:space="preserve">2026-07-01</w:t>
            </w:r>
          </w:p>
        </w:tc>
      </w:tr>
      <w:tr>
        <w:tc>
          <w:tcPr/>
          <w:p>
            <w:pPr>
              <w:pStyle w:val="Compact"/>
            </w:pPr>
            <w:r>
              <w:t xml:space="preserve">Next Review Due</w:t>
            </w:r>
          </w:p>
        </w:tc>
        <w:tc>
          <w:tcPr/>
          <w:p>
            <w:pPr>
              <w:pStyle w:val="Compact"/>
            </w:pPr>
            <w:r>
              <w:t xml:space="preserve">2027-07-01</w:t>
            </w:r>
          </w:p>
        </w:tc>
      </w:tr>
      <w:tr>
        <w:tc>
          <w:tcPr/>
          <w:p>
            <w:pPr>
              <w:pStyle w:val="Compact"/>
            </w:pPr>
            <w:r>
              <w:t xml:space="preserve">Supersedes</w:t>
            </w:r>
          </w:p>
        </w:tc>
        <w:tc>
          <w:tcPr/>
          <w:p>
            <w:pPr>
              <w:pStyle w:val="Compact"/>
            </w:pPr>
            <w:r>
              <w:t xml:space="preserve">ADI-HR-001 v4.1</w:t>
            </w:r>
          </w:p>
        </w:tc>
      </w:tr>
      <w:tr>
        <w:tc>
          <w:tcPr/>
          <w:p>
            <w:pPr>
              <w:pStyle w:val="Compact"/>
            </w:pPr>
            <w:r>
              <w:t xml:space="preserve">Superseded By</w:t>
            </w:r>
          </w:p>
        </w:tc>
        <w:tc>
          <w:tcPr/>
          <w:p>
            <w:pPr>
              <w:pStyle w:val="Compact"/>
            </w:pPr>
            <w:r>
              <w:t xml:space="preserve">None</w:t>
            </w:r>
          </w:p>
        </w:tc>
      </w:tr>
    </w:tbl>
    <w:bookmarkEnd w:id="9"/>
    <w:bookmarkStart w:id="10" w:name="welcome-and-how-to-use-this-handbook"/>
    <w:p>
      <w:pPr>
        <w:pStyle w:val="Heading2"/>
      </w:pPr>
      <w:r>
        <w:t xml:space="preserve">1. Welcome and How to Use This Handbook</w:t>
      </w:r>
    </w:p>
    <w:p>
      <w:pPr>
        <w:pStyle w:val="FirstParagraph"/>
      </w:pPr>
      <w:r>
        <w:t xml:space="preserve">Welcome to Atticus Dundee Inc. This handbook describes what the Company expects of you, what you can expect from the Company, and where to go with a question or a concern.</w:t>
      </w:r>
    </w:p>
    <w:p>
      <w:pPr>
        <w:pStyle w:val="BodyText"/>
      </w:pPr>
      <w:r>
        <w:t xml:space="preserve">It applies to employees of Atticus Dundee Inc. and its subsidiaries in the United States. It is not a contract of employment and creates no right to continued employment. The Company may amend or withdraw any part of it at any time, with or without notice, other than the at-will provision in Section 2, which may be modified only in a signed writing from the Chief People Officer and the General Counsel.</w:t>
      </w:r>
    </w:p>
    <w:p>
      <w:pPr>
        <w:pStyle w:val="BodyText"/>
      </w:pPr>
      <w:r>
        <w:t xml:space="preserve">Where this handbook conflicts with applicable law, the law governs and the Company applies the more protective provision. State-specific supplements are published alongside this handbook in the HRIS. Questions go to your manager or to People Operations at peopleops@atticusdundee.example.</w:t>
      </w:r>
    </w:p>
    <w:bookmarkEnd w:id="10"/>
    <w:bookmarkStart w:id="11" w:name="employment-basics"/>
    <w:p>
      <w:pPr>
        <w:pStyle w:val="Heading2"/>
      </w:pPr>
      <w:r>
        <w:t xml:space="preserve">2. Employment Basics</w:t>
      </w:r>
    </w:p>
    <w:p>
      <w:pPr>
        <w:pStyle w:val="FirstParagraph"/>
      </w:pPr>
      <w:r>
        <w:rPr>
          <w:b/>
          <w:bCs/>
        </w:rPr>
        <w:t xml:space="preserve">At-will employment.</w:t>
      </w:r>
      <w:r>
        <w:t xml:space="preserve"> </w:t>
      </w:r>
      <w:r>
        <w:t xml:space="preserve">Employment with the Company is at will. Either you or the Company may end the employment relationship at any time, for any lawful reason or for no reason, with or without notice. Nothing in this handbook or in any Company communication alters that relationship.</w:t>
      </w:r>
    </w:p>
    <w:p>
      <w:pPr>
        <w:pStyle w:val="BodyText"/>
      </w:pPr>
      <w:r>
        <w:rPr>
          <w:b/>
          <w:bCs/>
        </w:rPr>
        <w:t xml:space="preserve">Employment classifications.</w:t>
      </w:r>
      <w:r>
        <w:t xml:space="preserve"> </w:t>
      </w:r>
      <w:r>
        <w:t xml:space="preserve">Employees are classified as regular full-time (scheduled 30 or more hours per week), regular part-time (fewer than 30 hours per week), or temporary, and separately as exempt or non-exempt under the Fair Labor Standards Act and applicable state law. Your classifications appear in your offer letter and in the HRIS, and they determine eligibility for overtime, for paid time off, and for benefits.</w:t>
      </w:r>
    </w:p>
    <w:p>
      <w:pPr>
        <w:pStyle w:val="BodyText"/>
      </w:pPr>
      <w:r>
        <w:rPr>
          <w:b/>
          <w:bCs/>
        </w:rPr>
        <w:t xml:space="preserve">Immigration compliance.</w:t>
      </w:r>
      <w:r>
        <w:t xml:space="preserve"> </w:t>
      </w:r>
      <w:r>
        <w:t xml:space="preserve">All employees must complete Form I-9 and establish identity and authorization to work in the United States within three business days of their start date.</w:t>
      </w:r>
    </w:p>
    <w:p>
      <w:pPr>
        <w:pStyle w:val="BodyText"/>
      </w:pPr>
      <w:r>
        <w:rPr>
          <w:b/>
          <w:bCs/>
        </w:rPr>
        <w:t xml:space="preserve">Employment of relatives.</w:t>
      </w:r>
      <w:r>
        <w:t xml:space="preserve"> </w:t>
      </w:r>
      <w:r>
        <w:t xml:space="preserve">Relatives and members of the same household may be employed by the Company, but may not be placed in a reporting relationship or participate in hiring, compensation, or performance decisions affecting one another. Disclose any such relationship to People Operations.</w:t>
      </w:r>
    </w:p>
    <w:bookmarkEnd w:id="11"/>
    <w:bookmarkStart w:id="12" w:name="equal-opportunity-and-anti-harassment"/>
    <w:p>
      <w:pPr>
        <w:pStyle w:val="Heading2"/>
      </w:pPr>
      <w:r>
        <w:t xml:space="preserve">3. Equal Opportunity and Anti-Harassment</w:t>
      </w:r>
    </w:p>
    <w:p>
      <w:pPr>
        <w:pStyle w:val="FirstParagraph"/>
      </w:pPr>
      <w:r>
        <w:t xml:space="preserve">The Company is an equal opportunity employer. Employment decisions, including hiring, compensation, promotion, training, discipline, and termination, are made without regard to race, color, religion, national origin, ancestry, sex, pregnancy, sexual orientation, gender identity or expression, age, disability, medical condition, genetic information, marital or familial status, military or veteran status, citizenship status, or any other characteristic protected by applicable law.</w:t>
      </w:r>
    </w:p>
    <w:p>
      <w:pPr>
        <w:pStyle w:val="BodyText"/>
      </w:pPr>
      <w:r>
        <w:t xml:space="preserve">The Company prohibits harassment of any kind, including sexual harassment, and prohibits retaliation against anyone who reports a concern in good faith or participates in an investigation. Prohibited conduct includes unwelcome sexual advances, slurs and derogatory comments, offensive jokes and imagery, intimidation, and any conduct that creates an intimidating, hostile, or offensive work environment. These standards apply in Company offices, at remote work locations, at Company events, on business travel, and in Company communication systems.</w:t>
      </w:r>
    </w:p>
    <w:p>
      <w:pPr>
        <w:pStyle w:val="BodyText"/>
      </w:pPr>
      <w:r>
        <w:rPr>
          <w:b/>
          <w:bCs/>
        </w:rPr>
        <w:t xml:space="preserve">Accommodation.</w:t>
      </w:r>
      <w:r>
        <w:t xml:space="preserve"> </w:t>
      </w:r>
      <w:r>
        <w:t xml:space="preserve">The Company provides reasonable accommodation to qualified individuals with disabilities, to employees with pregnancy-related or lactation needs, and for sincerely held religious beliefs, absent undue hardship. Requests go to peopleops@atticusdundee.example and are handled through an interactive process. Medical information is kept confidential and stored separately from the personnel file.</w:t>
      </w:r>
    </w:p>
    <w:p>
      <w:pPr>
        <w:pStyle w:val="BodyText"/>
      </w:pPr>
      <w:r>
        <w:t xml:space="preserve">Reports of discrimination, harassment, or retaliation are handled under Section 13.</w:t>
      </w:r>
    </w:p>
    <w:bookmarkEnd w:id="12"/>
    <w:bookmarkStart w:id="13" w:name="hours-timekeeping-and-overtime"/>
    <w:p>
      <w:pPr>
        <w:pStyle w:val="Heading2"/>
      </w:pPr>
      <w:r>
        <w:t xml:space="preserve">4. Hours, Timekeeping and Overtime</w:t>
      </w:r>
    </w:p>
    <w:p>
      <w:pPr>
        <w:pStyle w:val="FirstParagraph"/>
      </w:pPr>
      <w:r>
        <w:t xml:space="preserve">Standard business hours are 9:00 to 17:00 local time, with core collaboration hours of 10:00 to 15:00. Schedules vary by team and are set by the manager.</w:t>
      </w:r>
    </w:p>
    <w:p>
      <w:pPr>
        <w:pStyle w:val="BodyText"/>
      </w:pPr>
      <w:r>
        <w:rPr>
          <w:b/>
          <w:bCs/>
        </w:rPr>
        <w:t xml:space="preserve">Non-exempt employees</w:t>
      </w:r>
      <w:r>
        <w:t xml:space="preserve"> </w:t>
      </w:r>
      <w:r>
        <w:t xml:space="preserve">must record all hours actually worked each day, including work performed remotely and outside scheduled hours, contemporaneously in the timekeeping system and approved weekly by the manager. Overtime is paid at one and one-half times the regular rate for hours worked over 40 in a workweek, with daily overtime and double time where state law requires it. Overtime must be authorized in advance, though the Company pays for all overtime actually worked whether or not it was authorized. Non-exempt employees must take an uninterrupted meal period of at least 30 minutes when working more than five hours, and rest breaks as required by state law, and must never work off the clock.</w:t>
      </w:r>
    </w:p>
    <w:p>
      <w:pPr>
        <w:pStyle w:val="BodyText"/>
      </w:pPr>
      <w:r>
        <w:rPr>
          <w:b/>
          <w:bCs/>
        </w:rPr>
        <w:t xml:space="preserve">Exempt employees</w:t>
      </w:r>
      <w:r>
        <w:t xml:space="preserve"> </w:t>
      </w:r>
      <w:r>
        <w:t xml:space="preserve">are paid on a salary basis and do not record hours worked, but do record absences in the HRIS.</w:t>
      </w:r>
    </w:p>
    <w:p>
      <w:pPr>
        <w:pStyle w:val="BodyText"/>
      </w:pPr>
      <w:r>
        <w:t xml:space="preserve">Falsifying time records, or recording time for another employee, is grounds for termination. If your pay does not reflect the time you worked, report it to payroll@atticusdundee.example immediately and the Company will investigate and correct any error.</w:t>
      </w:r>
    </w:p>
    <w:bookmarkEnd w:id="13"/>
    <w:bookmarkStart w:id="14" w:name="compensation-and-payroll"/>
    <w:p>
      <w:pPr>
        <w:pStyle w:val="Heading2"/>
      </w:pPr>
      <w:r>
        <w:t xml:space="preserve">5. Compensation and Payroll</w:t>
      </w:r>
    </w:p>
    <w:p>
      <w:pPr>
        <w:pStyle w:val="FirstParagraph"/>
      </w:pPr>
      <w:r>
        <w:t xml:space="preserve">Employees are paid semi-monthly, on the 15th and the last business day of each month, by direct deposit. Where a pay date falls on a weekend or holiday, payment is made on the preceding business day.</w:t>
      </w:r>
    </w:p>
    <w:p>
      <w:pPr>
        <w:pStyle w:val="BodyText"/>
      </w:pPr>
      <w:r>
        <w:t xml:space="preserve">Compensation is set within published pay ranges for the role, band, and geographic zone, and is reviewed annually as part of the performance cycle described in Section 10. Participation in a bonus or commission plan is governed by that plan document.</w:t>
      </w:r>
    </w:p>
    <w:p>
      <w:pPr>
        <w:pStyle w:val="BodyText"/>
      </w:pPr>
      <w:r>
        <w:t xml:space="preserve">Deductions required by law are withheld from every payment, along with elected voluntary deductions such as benefit premiums and retirement contributions. Review each pay statement in the HRIS and report any discrepancy to Payroll within 30 days.</w:t>
      </w:r>
    </w:p>
    <w:p>
      <w:pPr>
        <w:pStyle w:val="BodyText"/>
      </w:pPr>
      <w:r>
        <w:t xml:space="preserve">Nothing in this handbook restricts an employee’s right to discuss their own wages, hours, or working conditions.</w:t>
      </w:r>
    </w:p>
    <w:bookmarkEnd w:id="14"/>
    <w:bookmarkStart w:id="15" w:name="paid-time-off-and-holidays"/>
    <w:p>
      <w:pPr>
        <w:pStyle w:val="Heading2"/>
      </w:pPr>
      <w:r>
        <w:t xml:space="preserve">6. Paid Time Off and Holidays</w:t>
      </w:r>
    </w:p>
    <w:p>
      <w:pPr>
        <w:pStyle w:val="FirstParagraph"/>
      </w:pPr>
      <w:r>
        <w:rPr>
          <w:b/>
          <w:bCs/>
        </w:rPr>
        <w:t xml:space="preserve">Accrual.</w:t>
      </w:r>
      <w:r>
        <w:t xml:space="preserve"> </w:t>
      </w:r>
      <w:r>
        <w:t xml:space="preserve">Regular full-time employees accrue paid time off (PTO) at 5.34 hours per semi-monthly pay period, equal to 128 hours per year, increasing to 6.67 hours per period, equal to 160 hours per year, beginning on the fourth anniversary of hire. Regular part-time employees accrue on a pro-rata basis. PTO is used for vacation, personal time, and any absence that is not covered by Section 7 or Section 8.</w:t>
      </w:r>
    </w:p>
    <w:p>
      <w:pPr>
        <w:pStyle w:val="BodyText"/>
      </w:pPr>
      <w:r>
        <w:rPr>
          <w:b/>
          <w:bCs/>
        </w:rPr>
        <w:t xml:space="preserve">Requesting PTO.</w:t>
      </w:r>
      <w:r>
        <w:t xml:space="preserve"> </w:t>
      </w:r>
      <w:r>
        <w:t xml:space="preserve">Submit PTO requests in the HRIS as far in advance as practicable, and at least two weeks in advance for absences of three or more consecutive days. Managers approve requests based on business needs and coverage, and will not unreasonably withhold approval.</w:t>
      </w:r>
    </w:p>
    <w:p>
      <w:pPr>
        <w:pStyle w:val="BodyText"/>
      </w:pPr>
      <w:r>
        <w:rPr>
          <w:b/>
          <w:bCs/>
        </w:rPr>
        <w:t xml:space="preserve">Annual carryover.</w:t>
      </w:r>
      <w:r>
        <w:t xml:space="preserve"> </w:t>
      </w:r>
      <w:r>
        <w:t xml:space="preserve">Effective July 1, 2026, employees may carry over a maximum of 40 hours of accrued, unused PTO from one calendar year into the next. PTO accrued above the carryover cap is forfeited at the end of the calendar year and is not paid out. The prior carryover cap of 80 hours applied through June 30, 2026.</w:t>
      </w:r>
    </w:p>
    <w:p>
      <w:pPr>
        <w:pStyle w:val="BodyText"/>
      </w:pPr>
      <w:r>
        <w:rPr>
          <w:b/>
          <w:bCs/>
        </w:rPr>
        <w:t xml:space="preserve">Transition for existing balances.</w:t>
      </w:r>
      <w:r>
        <w:t xml:space="preserve"> </w:t>
      </w:r>
      <w:r>
        <w:t xml:space="preserve">Employees whose accrued, unused PTO balance exceeded 40 hours on the effective date of this version retain that balance and may use it in the ordinary course, but must use the amount above 40 hours by March 31, 2027. Any excess above 40 hours remaining after that date is forfeited. Managers are expected to approve reasonable requests to use these balances, and employees should plan time with their managers early in the period rather than in the closing weeks.</w:t>
      </w:r>
    </w:p>
    <w:p>
      <w:pPr>
        <w:pStyle w:val="BodyText"/>
      </w:pPr>
      <w:r>
        <w:rPr>
          <w:b/>
          <w:bCs/>
        </w:rPr>
        <w:t xml:space="preserve">Separation.</w:t>
      </w:r>
      <w:r>
        <w:t xml:space="preserve"> </w:t>
      </w:r>
      <w:r>
        <w:t xml:space="preserve">On separation, accrued and unused PTO is paid out where state law or a state supplement requires it, and is otherwise forfeited.</w:t>
      </w:r>
    </w:p>
    <w:p>
      <w:pPr>
        <w:pStyle w:val="BodyText"/>
      </w:pPr>
      <w:r>
        <w:rPr>
          <w:b/>
          <w:bCs/>
        </w:rPr>
        <w:t xml:space="preserve">Holidays.</w:t>
      </w:r>
      <w:r>
        <w:t xml:space="preserve"> </w:t>
      </w:r>
      <w:r>
        <w:t xml:space="preserve">The Company observes eleven paid holidays each year, published in the HRIS before the start of each calendar year, plus two floating holidays that employees may take on any day with manager approval. Floating holidays do not carry over and are not paid out on separation. Non-exempt employees required to work on a holiday receive holiday pay plus pay for hours worked.</w:t>
      </w:r>
    </w:p>
    <w:bookmarkEnd w:id="15"/>
    <w:bookmarkStart w:id="16" w:name="sick-leave"/>
    <w:p>
      <w:pPr>
        <w:pStyle w:val="Heading2"/>
      </w:pPr>
      <w:r>
        <w:t xml:space="preserve">7. Sick Leave</w:t>
      </w:r>
    </w:p>
    <w:p>
      <w:pPr>
        <w:pStyle w:val="FirstParagraph"/>
      </w:pPr>
      <w:r>
        <w:t xml:space="preserve">Employees accrue paid sick leave at one hour for every 30 hours worked, up to 64 hours per calendar year, available from the 90th day of employment. Where state or local law provides a greater accrual, earlier availability, or a higher cap, the more generous provision applies, as set out in the applicable state supplement.</w:t>
      </w:r>
    </w:p>
    <w:p>
      <w:pPr>
        <w:pStyle w:val="BodyText"/>
      </w:pPr>
      <w:r>
        <w:t xml:space="preserve">Sick leave may be used for the employee’s own illness, injury, medical condition, or treatment, including preventive care; for the same needs of a family member; and for absences related to domestic violence, sexual assault, or stalking where state law so provides.</w:t>
      </w:r>
    </w:p>
    <w:p>
      <w:pPr>
        <w:pStyle w:val="BodyText"/>
      </w:pPr>
      <w:r>
        <w:t xml:space="preserve">Notify your manager as soon as practicable, and before the start of the shift where the need is foreseeable. No doctor’s note is required for absences of three consecutive days or fewer. For longer absences, People Operations may request certification and will evaluate whether the absence should be designated as a leave under Section 8.</w:t>
      </w:r>
    </w:p>
    <w:p>
      <w:pPr>
        <w:pStyle w:val="BodyText"/>
      </w:pPr>
      <w:r>
        <w:t xml:space="preserve">Unused sick leave carries over, subject to the annual cap on use, and is not paid out on separation unless state law requires it.</w:t>
      </w:r>
    </w:p>
    <w:bookmarkEnd w:id="16"/>
    <w:bookmarkStart w:id="17" w:name="leaves-of-absence"/>
    <w:p>
      <w:pPr>
        <w:pStyle w:val="Heading2"/>
      </w:pPr>
      <w:r>
        <w:t xml:space="preserve">8. Leaves of Absence</w:t>
      </w:r>
    </w:p>
    <w:p>
      <w:pPr>
        <w:pStyle w:val="FirstParagraph"/>
      </w:pPr>
      <w:r>
        <w:t xml:space="preserve">The Company offers the leaves described below. Leaves run concurrently wherever the law permits, so a single absence may be covered by more than one entitlement without extending the total time away.</w:t>
      </w:r>
    </w:p>
    <w:p>
      <w:pPr>
        <w:pStyle w:val="BodyText"/>
      </w:pPr>
      <w:r>
        <w:rPr>
          <w:b/>
          <w:bCs/>
        </w:rPr>
        <w:t xml:space="preserve">Notice.</w:t>
      </w:r>
      <w:r>
        <w:t xml:space="preserve"> </w:t>
      </w:r>
      <w:r>
        <w:t xml:space="preserve">Where the need for leave is foreseeable, the employee must give at least 30 days’ advance written notice to People Operations at peopleops@atticusdundee.example, using the leave request form in the HRIS. Where 30 days’ notice is not possible, notice must be given as soon as practicable, and ordinarily within two business days of learning of the need. Failure to give required notice may delay the start of leave.</w:t>
      </w:r>
    </w:p>
    <w:p>
      <w:pPr>
        <w:pStyle w:val="BodyText"/>
      </w:pPr>
      <w:r>
        <w:rPr>
          <w:b/>
          <w:bCs/>
        </w:rPr>
        <w:t xml:space="preserve">Certification.</w:t>
      </w:r>
      <w:r>
        <w:t xml:space="preserve"> </w:t>
      </w:r>
      <w:r>
        <w:t xml:space="preserve">People Operations will issue a written designation notice confirming whether the requested absence qualifies, the entitlement or entitlements it is counted against, and the expected duration. Medical leaves, and leaves to care for a family member, require certification from a health care provider returned within 15 calendar days of the request. The Company may require recertification at reasonable intervals, and may require a second opinion at Company expense. Certifications are kept confidential and stored separately from the personnel file.</w:t>
      </w:r>
    </w:p>
    <w:p>
      <w:pPr>
        <w:pStyle w:val="BodyText"/>
      </w:pPr>
      <w:r>
        <w:rPr>
          <w:b/>
          <w:bCs/>
        </w:rPr>
        <w:t xml:space="preserve">Family and medical leave.</w:t>
      </w:r>
      <w:r>
        <w:t xml:space="preserve"> </w:t>
      </w:r>
      <w:r>
        <w:t xml:space="preserve">Eligible employees, meaning those with at least 12 months of service and 1,250 hours worked in the preceding 12 months, are entitled to up to 12 weeks of job-protected leave in a rolling 12-month period for a serious health condition, to care for a family member with a serious health condition, for the birth or placement of a child, or for a qualifying military exigency, and up to 26 weeks for military caregiver leave.</w:t>
      </w:r>
    </w:p>
    <w:p>
      <w:pPr>
        <w:pStyle w:val="BodyText"/>
      </w:pPr>
      <w:r>
        <w:rPr>
          <w:b/>
          <w:bCs/>
        </w:rPr>
        <w:t xml:space="preserve">Parental leave.</w:t>
      </w:r>
      <w:r>
        <w:t xml:space="preserve"> </w:t>
      </w:r>
      <w:r>
        <w:t xml:space="preserve">Employees with at least six months of service are eligible for 12 weeks of paid parental leave following the birth, adoption, or foster placement of a child. Paid parental leave is available to all new parents regardless of gender or caregiver status, is paid at 100 percent of base salary, and must be taken within 12 months of the birth or placement. Employees who give birth may be eligible for additional paid disability leave for the period of medical recovery, as certified by their health care provider, taken before the parental leave begins.</w:t>
      </w:r>
    </w:p>
    <w:p>
      <w:pPr>
        <w:pStyle w:val="BodyText"/>
      </w:pPr>
      <w:r>
        <w:rPr>
          <w:b/>
          <w:bCs/>
        </w:rPr>
        <w:t xml:space="preserve">Intermittent and reduced-schedule leave.</w:t>
      </w:r>
      <w:r>
        <w:t xml:space="preserve"> </w:t>
      </w:r>
      <w:r>
        <w:t xml:space="preserve">Family and medical leave may be taken intermittently or on a reduced schedule where medically necessary and supported by certification, and time used is deducted from the entitlement in the increments used. Paid parental leave may be taken in up to three separate continuous blocks of at least two weeks each, scheduled with the manager and approved by People Operations in advance; it may not be taken in increments of less than two weeks and may not be taken on a reduced-schedule basis.</w:t>
      </w:r>
    </w:p>
    <w:p>
      <w:pPr>
        <w:pStyle w:val="BodyText"/>
      </w:pPr>
      <w:r>
        <w:rPr>
          <w:b/>
          <w:bCs/>
        </w:rPr>
        <w:t xml:space="preserve">Other leaves.</w:t>
      </w:r>
      <w:r>
        <w:t xml:space="preserve"> </w:t>
      </w:r>
      <w:r>
        <w:t xml:space="preserve">The Company also provides bereavement leave of up to five days, jury duty and witness leave, voting leave, military leave under USERRA, and any other leave required by applicable law.</w:t>
      </w:r>
    </w:p>
    <w:p>
      <w:pPr>
        <w:pStyle w:val="BodyText"/>
      </w:pPr>
      <w:r>
        <w:rPr>
          <w:b/>
          <w:bCs/>
        </w:rPr>
        <w:t xml:space="preserve">Return to work.</w:t>
      </w:r>
      <w:r>
        <w:t xml:space="preserve"> </w:t>
      </w:r>
      <w:r>
        <w:t xml:space="preserve">Employees must confirm their return-to-work date with People Operations at least ten business days before returning, and must provide a fitness-for-duty certification where the leave was for the employee’s own serious health condition. Employees returning from leave are restored to the same or an equivalent position, subject to the limited exceptions permitted by law. An employee who does not return on the agreed date and does not request an extension may be treated as having voluntarily resigned.</w:t>
      </w:r>
    </w:p>
    <w:bookmarkEnd w:id="17"/>
    <w:bookmarkStart w:id="18" w:name="benefits-eligibility"/>
    <w:p>
      <w:pPr>
        <w:pStyle w:val="Heading2"/>
      </w:pPr>
      <w:r>
        <w:t xml:space="preserve">9. Benefits Eligibility</w:t>
      </w:r>
    </w:p>
    <w:p>
      <w:pPr>
        <w:pStyle w:val="FirstParagraph"/>
      </w:pPr>
      <w:r>
        <w:t xml:space="preserve">Regular full-time employees, and regular part-time employees scheduled for at least 20 hours per week, are eligible for the Company benefits program. Coverage begins on the first day of the month following the date of hire.</w:t>
      </w:r>
    </w:p>
    <w:p>
      <w:pPr>
        <w:pStyle w:val="BodyText"/>
      </w:pPr>
      <w:r>
        <w:t xml:space="preserve">The program includes medical, dental, and vision coverage; employer-paid basic life and accidental death insurance; short-term and long-term disability coverage; a 401(k) plan with a Company match of 100 percent of the first 4 percent of eligible compensation, subject to the plan’s vesting schedule; flexible spending and health savings accounts; commuter benefits; an employee assistance program; and an annual learning and wellness allowance.</w:t>
      </w:r>
    </w:p>
    <w:p>
      <w:pPr>
        <w:pStyle w:val="BodyText"/>
      </w:pPr>
      <w:r>
        <w:t xml:space="preserve">Elections are made within 30 days of the eligibility date and thereafter during open enrollment each November, for coverage beginning January 1. Outside open enrollment, elections may be changed only on a qualifying life event, such as marriage, divorce, birth or adoption, or loss of other coverage, reported to People Operations within 30 days.</w:t>
      </w:r>
    </w:p>
    <w:p>
      <w:pPr>
        <w:pStyle w:val="BodyText"/>
      </w:pPr>
      <w:r>
        <w:t xml:space="preserve">The plan documents and summary plan descriptions govern in all cases and are available in the HRIS.</w:t>
      </w:r>
    </w:p>
    <w:bookmarkEnd w:id="18"/>
    <w:bookmarkStart w:id="19" w:name="performance-and-development"/>
    <w:p>
      <w:pPr>
        <w:pStyle w:val="Heading2"/>
      </w:pPr>
      <w:r>
        <w:t xml:space="preserve">10. Performance and Development</w:t>
      </w:r>
    </w:p>
    <w:p>
      <w:pPr>
        <w:pStyle w:val="FirstParagraph"/>
      </w:pPr>
      <w:r>
        <w:t xml:space="preserve">The Company runs one annual performance cycle, with reviews completed in February and outcomes effective in April. Employees write a self-assessment, managers write an assessment, and peer input is gathered at senior bands. Ratings inform compensation, promotion, and development decisions.</w:t>
      </w:r>
    </w:p>
    <w:p>
      <w:pPr>
        <w:pStyle w:val="BodyText"/>
      </w:pPr>
      <w:r>
        <w:t xml:space="preserve">Managers hold a documented one-to-one meeting with each direct report at least every two weeks and give feedback continuously rather than saving it for the review cycle.</w:t>
      </w:r>
    </w:p>
    <w:p>
      <w:pPr>
        <w:pStyle w:val="BodyText"/>
      </w:pPr>
      <w:r>
        <w:t xml:space="preserve">Where performance does not meet the expectations of the role, the manager, with People Operations, may place the employee on a performance improvement plan setting out expectations, the support the Company will provide, and a review period of at least 30 days. A plan is not a prerequisite to termination, and the Company may end employment at any time consistent with Section 2.</w:t>
      </w:r>
    </w:p>
    <w:p>
      <w:pPr>
        <w:pStyle w:val="BodyText"/>
      </w:pPr>
      <w:r>
        <w:t xml:space="preserve">Development is supported through the annual learning allowance, internal mobility after 12 months in role, mentoring, and manager-approved conference attendance.</w:t>
      </w:r>
    </w:p>
    <w:bookmarkEnd w:id="19"/>
    <w:bookmarkStart w:id="20" w:name="benefits-during-leave"/>
    <w:p>
      <w:pPr>
        <w:pStyle w:val="Heading2"/>
      </w:pPr>
      <w:r>
        <w:t xml:space="preserve">11. Benefits During Leave</w:t>
      </w:r>
    </w:p>
    <w:p>
      <w:pPr>
        <w:pStyle w:val="FirstParagraph"/>
      </w:pPr>
      <w:r>
        <w:t xml:space="preserve">Employees on an approved leave of absence remain enrolled in Company benefit plans, subject to the terms of the plan documents and to the following.</w:t>
      </w:r>
    </w:p>
    <w:p>
      <w:pPr>
        <w:pStyle w:val="BodyText"/>
      </w:pPr>
      <w:r>
        <w:rPr>
          <w:b/>
          <w:bCs/>
        </w:rPr>
        <w:t xml:space="preserve">While leave is paid.</w:t>
      </w:r>
      <w:r>
        <w:t xml:space="preserve"> </w:t>
      </w:r>
      <w:r>
        <w:t xml:space="preserve">Where the employee continues to receive pay from the Company during leave, whether through salary continuation, a paid leave program, or the use of accrued paid time off, benefit coverage continues without interruption, and the employee’s share of premiums continues to be deducted from pay in the ordinary course.</w:t>
      </w:r>
    </w:p>
    <w:p>
      <w:pPr>
        <w:pStyle w:val="BodyText"/>
      </w:pPr>
      <w:r>
        <w:rPr>
          <w:b/>
          <w:bCs/>
        </w:rPr>
        <w:t xml:space="preserve">After paid leave is exhausted.</w:t>
      </w:r>
      <w:r>
        <w:t xml:space="preserve"> </w:t>
      </w:r>
      <w:r>
        <w:t xml:space="preserve">Where an employee is on unpaid leave, or the paid portion of a leave has been exhausted, coverage may continue for the duration of the approved leave, but the employee remains responsible for paying the employee share of the premium for each month of coverage. Payment is made directly to People Operations by check or by the electronic payment method identified in the leave packet, and must be received by the fifth day of each month for which coverage is sought.</w:t>
      </w:r>
    </w:p>
    <w:p>
      <w:pPr>
        <w:pStyle w:val="BodyText"/>
      </w:pPr>
      <w:r>
        <w:rPr>
          <w:b/>
          <w:bCs/>
        </w:rPr>
        <w:t xml:space="preserve">Missed premiums.</w:t>
      </w:r>
      <w:r>
        <w:t xml:space="preserve"> </w:t>
      </w:r>
      <w:r>
        <w:t xml:space="preserve">If a premium payment is more than 30 days late, coverage may lapse, and the Company will send written notice at least 15 days before the date coverage would end. Coverage that lapses for non-payment is not reinstated until the next open enrollment or the next qualifying life event, and the employee may be responsible for premiums the Company advanced on the employee’s behalf during the leave.</w:t>
      </w:r>
    </w:p>
    <w:p>
      <w:pPr>
        <w:pStyle w:val="BodyText"/>
      </w:pPr>
      <w:r>
        <w:rPr>
          <w:b/>
          <w:bCs/>
        </w:rPr>
        <w:t xml:space="preserve">Retirement contributions.</w:t>
      </w:r>
      <w:r>
        <w:t xml:space="preserve"> </w:t>
      </w:r>
      <w:r>
        <w:t xml:space="preserve">Employee 401(k) contributions and the Company match are calculated on eligible compensation actually paid. Contributions and match therefore continue while a leave is paid, and are suspended for any period in which no compensation is paid. Contributions resume automatically at the employee’s existing election rate when pay resumes. Outstanding 401(k) loan repayments are governed by the plan’s leave provisions, and employees with a loan should contact the plan administrator before an unpaid period begins.</w:t>
      </w:r>
    </w:p>
    <w:p>
      <w:pPr>
        <w:pStyle w:val="BodyText"/>
      </w:pPr>
      <w:r>
        <w:rPr>
          <w:b/>
          <w:bCs/>
        </w:rPr>
        <w:t xml:space="preserve">Other coverages.</w:t>
      </w:r>
      <w:r>
        <w:t xml:space="preserve"> </w:t>
      </w:r>
      <w:r>
        <w:t xml:space="preserve">Flexible spending account contributions are suspended during unpaid periods, and employees may elect at the start of the leave to prepay or to reduce the annual election. Employer-paid life and disability coverage continues for the duration of an approved leave. Paid time off and sick leave do not accrue during unpaid leave.</w:t>
      </w:r>
    </w:p>
    <w:bookmarkEnd w:id="20"/>
    <w:bookmarkStart w:id="21" w:name="standards-of-conduct"/>
    <w:p>
      <w:pPr>
        <w:pStyle w:val="Heading2"/>
      </w:pPr>
      <w:r>
        <w:t xml:space="preserve">12. Standards of Conduct</w:t>
      </w:r>
    </w:p>
    <w:p>
      <w:pPr>
        <w:pStyle w:val="FirstParagraph"/>
      </w:pPr>
      <w:r>
        <w:t xml:space="preserve">Employees are expected to act with honesty and professionalism, to treat colleagues, customers, and partners with respect, and to comply with Company policies including ADI-POL-003 (Acceptable Use Policy), ADI-POL-004 (Social Media Policy), and ADI-POL-005 (Travel and Expense Policy).</w:t>
      </w:r>
    </w:p>
    <w:p>
      <w:pPr>
        <w:pStyle w:val="BodyText"/>
      </w:pPr>
      <w:r>
        <w:t xml:space="preserve">Conduct that may result in discipline up to and including immediate termination includes dishonesty, theft, or falsification of Company records; unauthorized disclosure of confidential or customer information; harassment, discrimination, or retaliation; threats or violence; weapons on Company premises; working under the influence of alcohol or unlawful drugs; insubordination; unauthorized absence; and violation of law in connection with Company business.</w:t>
      </w:r>
    </w:p>
    <w:p>
      <w:pPr>
        <w:pStyle w:val="BodyText"/>
      </w:pPr>
      <w:r>
        <w:rPr>
          <w:b/>
          <w:bCs/>
        </w:rPr>
        <w:t xml:space="preserve">Conflicts of interest.</w:t>
      </w:r>
      <w:r>
        <w:t xml:space="preserve"> </w:t>
      </w:r>
      <w:r>
        <w:t xml:space="preserve">Disclose any outside activity, investment, board seat, or relationship that could conflict with your duties, using the form in the HRIS. Employees may not accept anything of value from a customer, vendor, or partner beyond items of nominal value, and may never offer anything of value to a government official.</w:t>
      </w:r>
    </w:p>
    <w:p>
      <w:pPr>
        <w:pStyle w:val="BodyText"/>
      </w:pPr>
      <w:r>
        <w:rPr>
          <w:b/>
          <w:bCs/>
        </w:rPr>
        <w:t xml:space="preserve">Confidentiality.</w:t>
      </w:r>
      <w:r>
        <w:t xml:space="preserve"> </w:t>
      </w:r>
      <w:r>
        <w:t xml:space="preserve">Confidential information of the Company, its customers, and its partners must be protected during and after employment, in accordance with the confidentiality agreement signed at hire.</w:t>
      </w:r>
    </w:p>
    <w:bookmarkEnd w:id="21"/>
    <w:bookmarkStart w:id="22" w:name="complaint-and-investigation-procedure"/>
    <w:p>
      <w:pPr>
        <w:pStyle w:val="Heading2"/>
      </w:pPr>
      <w:r>
        <w:t xml:space="preserve">13. Complaint and Investigation Procedure</w:t>
      </w:r>
    </w:p>
    <w:p>
      <w:pPr>
        <w:pStyle w:val="FirstParagraph"/>
      </w:pPr>
      <w:r>
        <w:t xml:space="preserve">Report concerns about conduct, safety, discrimination, harassment, retaliation, or any suspected violation of law or policy promptly, through any of these channels: your manager; any other member of management; People Operations at peopleops@atticusdundee.example; the Legal Department at legal@atticusdundee.example; or the confidential ethics line, operated by a third party, which accepts anonymous reports. You are never required to raise a concern with the person it is about.</w:t>
      </w:r>
    </w:p>
    <w:p>
      <w:pPr>
        <w:pStyle w:val="BodyText"/>
      </w:pPr>
      <w:r>
        <w:t xml:space="preserve">The Company investigates promptly, impartially, and as confidentially as the circumstances allow, through People Operations or, where the matter warrants, the Legal Department or outside counsel. Employees are expected to cooperate and to give truthful information. The Company informs the reporting employee of the outcome to the extent appropriate and takes corrective action where a violation is found.</w:t>
      </w:r>
    </w:p>
    <w:p>
      <w:pPr>
        <w:pStyle w:val="BodyText"/>
      </w:pPr>
      <w:r>
        <w:t xml:space="preserve">Retaliation against anyone who raises a concern in good faith is prohibited and is itself grounds for termination, whether or not the underlying concern is substantiated. Nothing here prevents an employee from reporting possible violations of law to a government agency.</w:t>
      </w:r>
    </w:p>
    <w:bookmarkEnd w:id="22"/>
    <w:bookmarkStart w:id="23" w:name="separation-from-employment"/>
    <w:p>
      <w:pPr>
        <w:pStyle w:val="Heading2"/>
      </w:pPr>
      <w:r>
        <w:t xml:space="preserve">14. Separation from Employment</w:t>
      </w:r>
    </w:p>
    <w:p>
      <w:pPr>
        <w:pStyle w:val="FirstParagraph"/>
      </w:pPr>
      <w:r>
        <w:t xml:space="preserve">Employees who resign are asked to give at least two weeks’ written notice to their manager and to People Operations. The Company may accept a resignation effective immediately.</w:t>
      </w:r>
    </w:p>
    <w:p>
      <w:pPr>
        <w:pStyle w:val="BodyText"/>
      </w:pPr>
      <w:r>
        <w:t xml:space="preserve">Final pay is provided in accordance with applicable state law. Company property, including laptops, mobile devices, access badges, corporate cards, and documents, must be returned on or before the last working day, and outstanding expense reports must be filed before that day as required by ADI-POL-005.</w:t>
      </w:r>
    </w:p>
    <w:p>
      <w:pPr>
        <w:pStyle w:val="BodyText"/>
      </w:pPr>
      <w:r>
        <w:t xml:space="preserve">Access to Company systems ends on the separation date. Benefit coverage ends on the last day of the month in which separation occurs, and eligible employees receive continuation coverage information from the plan administrator. Obligations that survive employment, including confidentiality and any restrictive covenants, continue after the separation date.</w:t>
      </w:r>
    </w:p>
    <w:p>
      <w:pPr>
        <w:pStyle w:val="BodyText"/>
      </w:pPr>
      <w:r>
        <w:t xml:space="preserve">People Operations offers a voluntary exit conversation to every departing employee.</w:t>
      </w:r>
    </w:p>
    <w:bookmarkEnd w:id="23"/>
    <w:bookmarkStart w:id="24" w:name="acknowledgment"/>
    <w:p>
      <w:pPr>
        <w:pStyle w:val="Heading2"/>
      </w:pPr>
      <w:r>
        <w:t xml:space="preserve">15. Acknowledgment</w:t>
      </w:r>
    </w:p>
    <w:p>
      <w:pPr>
        <w:pStyle w:val="FirstParagraph"/>
      </w:pPr>
      <w:r>
        <w:t xml:space="preserve">Every employee acknowledges this handbook electronically in the HRIS within 30 days of hire, and again within 30 days of each new version being published. The acknowledgment confirms that the employee has received the handbook, has had the opportunity to ask questions, understands that employment is at will as described in Section 2, and understands that the handbook is not a contract and may be changed at any time.</w:t>
      </w:r>
    </w:p>
    <w:p>
      <w:pPr>
        <w:pStyle w:val="BodyText"/>
      </w:pPr>
      <w:r>
        <w:t xml:space="preserve">Contact People Operations at peopleops@atticusdundee.example with questions before acknowledging.</w:t>
      </w:r>
    </w:p>
    <w:bookmarkEnd w:id="24"/>
    <w:bookmarkStart w:id="25"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3.0</w:t>
            </w:r>
          </w:p>
        </w:tc>
        <w:tc>
          <w:tcPr/>
          <w:p>
            <w:pPr>
              <w:pStyle w:val="Compact"/>
            </w:pPr>
            <w:r>
              <w:t xml:space="preserve">2022-01-03</w:t>
            </w:r>
          </w:p>
        </w:tc>
        <w:tc>
          <w:tcPr/>
          <w:p>
            <w:pPr>
              <w:pStyle w:val="Compact"/>
            </w:pPr>
            <w:r>
              <w:t xml:space="preserve">Full restatement of the handbook for the hybrid workplace; added remote work references and the ethics line.</w:t>
            </w:r>
          </w:p>
        </w:tc>
        <w:tc>
          <w:tcPr/>
          <w:p>
            <w:pPr>
              <w:pStyle w:val="Compact"/>
            </w:pPr>
            <w:r>
              <w:t xml:space="preserve">Priya Raghunathan</w:t>
            </w:r>
          </w:p>
        </w:tc>
      </w:tr>
      <w:tr>
        <w:tc>
          <w:tcPr/>
          <w:p>
            <w:pPr>
              <w:pStyle w:val="Compact"/>
            </w:pPr>
            <w:r>
              <w:t xml:space="preserve">3.1</w:t>
            </w:r>
          </w:p>
        </w:tc>
        <w:tc>
          <w:tcPr/>
          <w:p>
            <w:pPr>
              <w:pStyle w:val="Compact"/>
            </w:pPr>
            <w:r>
              <w:t xml:space="preserve">2023-03-06</w:t>
            </w:r>
          </w:p>
        </w:tc>
        <w:tc>
          <w:tcPr/>
          <w:p>
            <w:pPr>
              <w:pStyle w:val="Compact"/>
            </w:pPr>
            <w:r>
              <w:t xml:space="preserve">Added state supplement structure; expanded accommodation and complaint procedures.</w:t>
            </w:r>
          </w:p>
        </w:tc>
        <w:tc>
          <w:tcPr/>
          <w:p>
            <w:pPr>
              <w:pStyle w:val="Compact"/>
            </w:pPr>
            <w:r>
              <w:t xml:space="preserve">Priya Raghunathan</w:t>
            </w:r>
          </w:p>
        </w:tc>
      </w:tr>
      <w:tr>
        <w:tc>
          <w:tcPr/>
          <w:p>
            <w:pPr>
              <w:pStyle w:val="Compact"/>
            </w:pPr>
            <w:r>
              <w:t xml:space="preserve">4.0</w:t>
            </w:r>
          </w:p>
        </w:tc>
        <w:tc>
          <w:tcPr/>
          <w:p>
            <w:pPr>
              <w:pStyle w:val="Compact"/>
            </w:pPr>
            <w:r>
              <w:t xml:space="preserve">2024-07-01</w:t>
            </w:r>
          </w:p>
        </w:tc>
        <w:tc>
          <w:tcPr/>
          <w:p>
            <w:pPr>
              <w:pStyle w:val="Compact"/>
            </w:pPr>
            <w:r>
              <w:t xml:space="preserve">Restructured into fifteen sections; introduced 12 weeks paid parental leave; consolidated benefits eligibility.</w:t>
            </w:r>
          </w:p>
        </w:tc>
        <w:tc>
          <w:tcPr/>
          <w:p>
            <w:pPr>
              <w:pStyle w:val="Compact"/>
            </w:pPr>
            <w:r>
              <w:t xml:space="preserve">Priya Raghunathan</w:t>
            </w:r>
          </w:p>
        </w:tc>
      </w:tr>
      <w:tr>
        <w:tc>
          <w:tcPr/>
          <w:p>
            <w:pPr>
              <w:pStyle w:val="Compact"/>
            </w:pPr>
            <w:r>
              <w:t xml:space="preserve">4.1</w:t>
            </w:r>
          </w:p>
        </w:tc>
        <w:tc>
          <w:tcPr/>
          <w:p>
            <w:pPr>
              <w:pStyle w:val="Compact"/>
            </w:pPr>
            <w:r>
              <w:t xml:space="preserve">2025-07-01</w:t>
            </w:r>
          </w:p>
        </w:tc>
        <w:tc>
          <w:tcPr/>
          <w:p>
            <w:pPr>
              <w:pStyle w:val="Compact"/>
            </w:pPr>
            <w:r>
              <w:t xml:space="preserve">Increased PTO accrual at the fourth anniversary to 160 hours per year; set the annual PTO carryover cap at 80 hours; updated the 401(k) match to 100 percent of the first 4 percent.</w:t>
            </w:r>
          </w:p>
        </w:tc>
        <w:tc>
          <w:tcPr/>
          <w:p>
            <w:pPr>
              <w:pStyle w:val="Compact"/>
            </w:pPr>
            <w:r>
              <w:t xml:space="preserve">Priya Raghunathan</w:t>
            </w:r>
          </w:p>
        </w:tc>
      </w:tr>
      <w:tr>
        <w:tc>
          <w:tcPr/>
          <w:p>
            <w:pPr>
              <w:pStyle w:val="Compact"/>
            </w:pPr>
            <w:r>
              <w:t xml:space="preserve">4.2</w:t>
            </w:r>
          </w:p>
        </w:tc>
        <w:tc>
          <w:tcPr/>
          <w:p>
            <w:pPr>
              <w:pStyle w:val="Compact"/>
            </w:pPr>
            <w:r>
              <w:t xml:space="preserve">2026-07-01</w:t>
            </w:r>
          </w:p>
        </w:tc>
        <w:tc>
          <w:tcPr/>
          <w:p>
            <w:pPr>
              <w:pStyle w:val="Compact"/>
            </w:pPr>
            <w:r>
              <w:t xml:space="preserve">Reduced the annual PTO carryover cap from 80 hours to 40 hours, with a transition period for existing balances above the new cap; clarified intermittent parental leave scheduling; clarified premium remittance during unpaid leave.</w:t>
            </w:r>
          </w:p>
        </w:tc>
        <w:tc>
          <w:tcPr/>
          <w:p>
            <w:pPr>
              <w:pStyle w:val="Compact"/>
            </w:pPr>
            <w:r>
              <w:t xml:space="preserve">Priya Raghunathan</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2026-08-09T03:07:33Z</dcterms:created>
  <dcterms:modified xsi:type="dcterms:W3CDTF">2026-08-09T03:07:33Z</dcterms:modified>
</cp:coreProperties>
</file>

<file path=docProps/custom.xml><?xml version="1.0" encoding="utf-8"?>
<Properties xmlns="http://schemas.openxmlformats.org/officeDocument/2006/custom-properties" xmlns:vt="http://schemas.openxmlformats.org/officeDocument/2006/docPropsVTypes"/>
</file>