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ravel-and-expense-policy"/>
    <w:p>
      <w:pPr>
        <w:pStyle w:val="Heading1"/>
      </w:pPr>
      <w:r>
        <w:t xml:space="preserve">Travel and Expense Policy</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ADI-POL-005</w:t>
            </w:r>
          </w:p>
        </w:tc>
      </w:tr>
      <w:tr>
        <w:tc>
          <w:tcPr/>
          <w:p>
            <w:pPr>
              <w:pStyle w:val="Compact"/>
            </w:pPr>
            <w:r>
              <w:t xml:space="preserve">Version</w:t>
            </w:r>
          </w:p>
        </w:tc>
        <w:tc>
          <w:tcPr/>
          <w:p>
            <w:pPr>
              <w:pStyle w:val="Compact"/>
            </w:pPr>
            <w:r>
              <w:t xml:space="preserve">4.3</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Workplace Services (vacant)</w:t>
            </w:r>
          </w:p>
        </w:tc>
      </w:tr>
      <w:tr>
        <w:tc>
          <w:tcPr/>
          <w:p>
            <w:pPr>
              <w:pStyle w:val="Compact"/>
            </w:pPr>
            <w:r>
              <w:t xml:space="preserve">Approver</w:t>
            </w:r>
          </w:p>
        </w:tc>
        <w:tc>
          <w:tcPr/>
          <w:p>
            <w:pPr>
              <w:pStyle w:val="Compact"/>
            </w:pPr>
            <w:r>
              <w:t xml:space="preserve">Daniel Osei-Bonsu, Chief Financial Officer</w:t>
            </w:r>
          </w:p>
        </w:tc>
      </w:tr>
      <w:tr>
        <w:tc>
          <w:tcPr/>
          <w:p>
            <w:pPr>
              <w:pStyle w:val="Compact"/>
            </w:pPr>
            <w:r>
              <w:t xml:space="preserve">Effective Date</w:t>
            </w:r>
          </w:p>
        </w:tc>
        <w:tc>
          <w:tcPr/>
          <w:p>
            <w:pPr>
              <w:pStyle w:val="Compact"/>
            </w:pPr>
            <w:r>
              <w:t xml:space="preserve">2025-10-15</w:t>
            </w:r>
          </w:p>
        </w:tc>
      </w:tr>
      <w:tr>
        <w:tc>
          <w:tcPr/>
          <w:p>
            <w:pPr>
              <w:pStyle w:val="Compact"/>
            </w:pPr>
            <w:r>
              <w:t xml:space="preserve">Last Reviewed</w:t>
            </w:r>
          </w:p>
        </w:tc>
        <w:tc>
          <w:tcPr/>
          <w:p>
            <w:pPr>
              <w:pStyle w:val="Compact"/>
            </w:pPr>
            <w:r>
              <w:t xml:space="preserve">2025-10-15</w:t>
            </w:r>
          </w:p>
        </w:tc>
      </w:tr>
      <w:tr>
        <w:tc>
          <w:tcPr/>
          <w:p>
            <w:pPr>
              <w:pStyle w:val="Compact"/>
            </w:pPr>
            <w:r>
              <w:t xml:space="preserve">Next Review Due</w:t>
            </w:r>
          </w:p>
        </w:tc>
        <w:tc>
          <w:tcPr/>
          <w:p>
            <w:pPr>
              <w:pStyle w:val="Compact"/>
            </w:pPr>
            <w:r>
              <w:t xml:space="preserve">2026-10-15</w:t>
            </w:r>
          </w:p>
        </w:tc>
      </w:tr>
      <w:tr>
        <w:tc>
          <w:tcPr/>
          <w:p>
            <w:pPr>
              <w:pStyle w:val="Compact"/>
            </w:pPr>
            <w:r>
              <w:t xml:space="preserve">Supersedes</w:t>
            </w:r>
          </w:p>
        </w:tc>
        <w:tc>
          <w:tcPr/>
          <w:p>
            <w:pPr>
              <w:pStyle w:val="Compact"/>
            </w:pPr>
            <w:r>
              <w:t xml:space="preserve">ADI-POL-005 v4.2</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This policy governs business travel and the reimbursement of business expenses at Atticus Dundee Inc. It sets the booking channel, the spending limits, the documentation the Company requires, and the approvals that must be obtained before the Company pays. The standard is straightforward: spend Company money as a prudent person would spend their own, and be able to explain any expense to someone who was not there.</w:t>
      </w:r>
    </w:p>
    <w:bookmarkEnd w:id="10"/>
    <w:bookmarkStart w:id="11" w:name="scope"/>
    <w:p>
      <w:pPr>
        <w:pStyle w:val="Heading2"/>
      </w:pPr>
      <w:r>
        <w:t xml:space="preserve">2. Scope</w:t>
      </w:r>
    </w:p>
    <w:p>
      <w:pPr>
        <w:pStyle w:val="FirstParagraph"/>
      </w:pPr>
      <w:r>
        <w:t xml:space="preserve">This policy applies to all employees, officers, directors, contractors, and temporary workers who travel on Company business or incur business expenses for reimbursement, whether paid on a corporate card or out of pocket, and to travel booked for candidates, customers, or guests. Where a customer contract imposes stricter travel terms, those terms govern, and the traveler notes the contract on the expense report.</w:t>
      </w:r>
    </w:p>
    <w:bookmarkEnd w:id="11"/>
    <w:bookmarkStart w:id="12" w:name="general-principles"/>
    <w:p>
      <w:pPr>
        <w:pStyle w:val="Heading2"/>
      </w:pPr>
      <w:r>
        <w:t xml:space="preserve">3. General Principles</w:t>
      </w:r>
    </w:p>
    <w:p>
      <w:pPr>
        <w:pStyle w:val="Compact"/>
        <w:numPr>
          <w:ilvl w:val="0"/>
          <w:numId w:val="1001"/>
        </w:numPr>
      </w:pPr>
      <w:r>
        <w:t xml:space="preserve">Travel is undertaken only where the business purpose cannot reasonably be achieved remotely.</w:t>
      </w:r>
    </w:p>
    <w:p>
      <w:pPr>
        <w:pStyle w:val="Compact"/>
        <w:numPr>
          <w:ilvl w:val="0"/>
          <w:numId w:val="1001"/>
        </w:numPr>
      </w:pPr>
      <w:r>
        <w:t xml:space="preserve">Every expense has a documented business purpose and an attendee list where others are present.</w:t>
      </w:r>
    </w:p>
    <w:p>
      <w:pPr>
        <w:pStyle w:val="Compact"/>
        <w:numPr>
          <w:ilvl w:val="0"/>
          <w:numId w:val="1001"/>
        </w:numPr>
      </w:pPr>
      <w:r>
        <w:t xml:space="preserve">No one approves their own expense report, and no one approves the report of a person to whom they report.</w:t>
      </w:r>
    </w:p>
    <w:p>
      <w:pPr>
        <w:pStyle w:val="Compact"/>
        <w:numPr>
          <w:ilvl w:val="0"/>
          <w:numId w:val="1001"/>
        </w:numPr>
      </w:pPr>
      <w:r>
        <w:t xml:space="preserve">The Company reimburses actual, reasonable, and substantiated costs, and does not pay flat allowances except where a per-diem election is made under Section 7.</w:t>
      </w:r>
    </w:p>
    <w:p>
      <w:pPr>
        <w:pStyle w:val="Compact"/>
        <w:numPr>
          <w:ilvl w:val="0"/>
          <w:numId w:val="1001"/>
        </w:numPr>
      </w:pPr>
      <w:r>
        <w:t xml:space="preserve">Limits in this policy are ceilings, not entitlements.</w:t>
      </w:r>
    </w:p>
    <w:bookmarkEnd w:id="12"/>
    <w:bookmarkStart w:id="13" w:name="booking-and-advance-purchase"/>
    <w:p>
      <w:pPr>
        <w:pStyle w:val="Heading2"/>
      </w:pPr>
      <w:r>
        <w:t xml:space="preserve">4. Booking and Advance Purchase</w:t>
      </w:r>
    </w:p>
    <w:p>
      <w:pPr>
        <w:pStyle w:val="Compact"/>
        <w:numPr>
          <w:ilvl w:val="0"/>
          <w:numId w:val="1002"/>
        </w:numPr>
      </w:pPr>
      <w:r>
        <w:t xml:space="preserve">All air, rail, hotel, and rental car reservations for Company business must be booked through the corporate travel tool, or through the Company’s designated travel agent for itineraries the tool cannot handle. Bookings made outside these channels are not reimbursable except under an approved exception.</w:t>
      </w:r>
    </w:p>
    <w:p>
      <w:pPr>
        <w:pStyle w:val="Compact"/>
        <w:numPr>
          <w:ilvl w:val="0"/>
          <w:numId w:val="1002"/>
        </w:numPr>
      </w:pPr>
      <w:r>
        <w:t xml:space="preserve">Domestic travel is booked at least 14 days before departure. International travel is booked at least 21 days before departure.</w:t>
      </w:r>
    </w:p>
    <w:p>
      <w:pPr>
        <w:pStyle w:val="Compact"/>
        <w:numPr>
          <w:ilvl w:val="0"/>
          <w:numId w:val="1002"/>
        </w:numPr>
      </w:pPr>
      <w:r>
        <w:t xml:space="preserve">Where travel is booked inside the advance-purchase window, the traveler records the reason in the booking tool and obtains Vice President approval before ticketing.</w:t>
      </w:r>
    </w:p>
    <w:p>
      <w:pPr>
        <w:pStyle w:val="Compact"/>
        <w:numPr>
          <w:ilvl w:val="0"/>
          <w:numId w:val="1002"/>
        </w:numPr>
      </w:pPr>
      <w:r>
        <w:t xml:space="preserve">Travel that includes a personal segment is booked so that the Company pays no more than the direct business itinerary would cost, and the traveler retains the comparison quote.</w:t>
      </w:r>
    </w:p>
    <w:p>
      <w:pPr>
        <w:pStyle w:val="Compact"/>
        <w:numPr>
          <w:ilvl w:val="0"/>
          <w:numId w:val="1002"/>
        </w:numPr>
      </w:pPr>
      <w:r>
        <w:t xml:space="preserve">Changes and cancellations are made in the travel tool so that unused tickets are recovered and reapplied.</w:t>
      </w:r>
    </w:p>
    <w:p>
      <w:pPr>
        <w:pStyle w:val="Compact"/>
        <w:numPr>
          <w:ilvl w:val="0"/>
          <w:numId w:val="1002"/>
        </w:numPr>
      </w:pPr>
      <w:r>
        <w:t xml:space="preserve">Trips expected to cost more than $10,000, and all international travel, require written manager approval before booking.</w:t>
      </w:r>
    </w:p>
    <w:bookmarkEnd w:id="13"/>
    <w:bookmarkStart w:id="14" w:name="air-travel"/>
    <w:p>
      <w:pPr>
        <w:pStyle w:val="Heading2"/>
      </w:pPr>
      <w:r>
        <w:t xml:space="preserve">5. Air Travel</w:t>
      </w:r>
    </w:p>
    <w:p>
      <w:pPr>
        <w:pStyle w:val="Compact"/>
        <w:numPr>
          <w:ilvl w:val="0"/>
          <w:numId w:val="1003"/>
        </w:numPr>
      </w:pPr>
      <w:r>
        <w:t xml:space="preserve">Economy class is the standard for all flights, at the lowest logical fare within a two-hour window of the preferred departure time.</w:t>
      </w:r>
    </w:p>
    <w:p>
      <w:pPr>
        <w:pStyle w:val="Compact"/>
        <w:numPr>
          <w:ilvl w:val="0"/>
          <w:numId w:val="1003"/>
        </w:numPr>
      </w:pPr>
      <w:r>
        <w:t xml:space="preserve">Premium economy may be booked for scheduled flight segments of six hours or more.</w:t>
      </w:r>
    </w:p>
    <w:p>
      <w:pPr>
        <w:pStyle w:val="Compact"/>
        <w:numPr>
          <w:ilvl w:val="0"/>
          <w:numId w:val="1003"/>
        </w:numPr>
      </w:pPr>
      <w:r>
        <w:t xml:space="preserve">Business class may be booked only for scheduled segments of eight hours or more, and only with the written approval of an Executive Leadership Team member. First class is not reimbursable under any circumstance.</w:t>
      </w:r>
    </w:p>
    <w:p>
      <w:pPr>
        <w:pStyle w:val="Compact"/>
        <w:numPr>
          <w:ilvl w:val="0"/>
          <w:numId w:val="1003"/>
        </w:numPr>
      </w:pPr>
      <w:r>
        <w:t xml:space="preserve">Seat selection fees, one checked bag each way, and in-flight connectivity are reimbursable. Priority boarding, lounge access, and additional bags are not, other than for travelers carrying event equipment.</w:t>
      </w:r>
    </w:p>
    <w:p>
      <w:pPr>
        <w:pStyle w:val="Compact"/>
        <w:numPr>
          <w:ilvl w:val="0"/>
          <w:numId w:val="1003"/>
        </w:numPr>
      </w:pPr>
      <w:r>
        <w:t xml:space="preserve">Frequent-flyer benefits belong to the traveler, but a route or carrier may not be selected to accrue them where doing so increases cost.</w:t>
      </w:r>
    </w:p>
    <w:bookmarkEnd w:id="14"/>
    <w:bookmarkStart w:id="15" w:name="lodging"/>
    <w:p>
      <w:pPr>
        <w:pStyle w:val="Heading2"/>
      </w:pPr>
      <w:r>
        <w:t xml:space="preserve">6. Lodging</w:t>
      </w:r>
    </w:p>
    <w:p>
      <w:pPr>
        <w:pStyle w:val="Compact"/>
        <w:numPr>
          <w:ilvl w:val="0"/>
          <w:numId w:val="1004"/>
        </w:numPr>
      </w:pPr>
      <w:r>
        <w:t xml:space="preserve">Hotels are booked at or below the nightly room rate cap for the destination city tier, exclusive of taxes and mandatory fees:</w:t>
      </w:r>
    </w:p>
    <w:p>
      <w:pPr>
        <w:pStyle w:val="Compact"/>
        <w:numPr>
          <w:ilvl w:val="1"/>
          <w:numId w:val="1005"/>
        </w:numPr>
      </w:pPr>
      <w:r>
        <w:t xml:space="preserve">Tier 1 cities (New York, San Francisco, Boston, Washington, London, Tokyo): $375 per night</w:t>
      </w:r>
    </w:p>
    <w:p>
      <w:pPr>
        <w:pStyle w:val="Compact"/>
        <w:numPr>
          <w:ilvl w:val="1"/>
          <w:numId w:val="1005"/>
        </w:numPr>
      </w:pPr>
      <w:r>
        <w:t xml:space="preserve">Tier 2 cities (Chicago, Seattle, Austin, Denver, Toronto, Dublin): $275 per night</w:t>
      </w:r>
    </w:p>
    <w:p>
      <w:pPr>
        <w:pStyle w:val="Compact"/>
        <w:numPr>
          <w:ilvl w:val="1"/>
          <w:numId w:val="1005"/>
        </w:numPr>
      </w:pPr>
      <w:r>
        <w:t xml:space="preserve">Tier 3, all other locations: $200 per night</w:t>
      </w:r>
    </w:p>
    <w:p>
      <w:pPr>
        <w:pStyle w:val="Compact"/>
        <w:numPr>
          <w:ilvl w:val="0"/>
          <w:numId w:val="1004"/>
        </w:numPr>
      </w:pPr>
      <w:r>
        <w:t xml:space="preserve">Where a conference room block exceeds the cap, the traveler books the block rate and notes the event on the report.</w:t>
      </w:r>
    </w:p>
    <w:p>
      <w:pPr>
        <w:pStyle w:val="Compact"/>
        <w:numPr>
          <w:ilvl w:val="0"/>
          <w:numId w:val="1004"/>
        </w:numPr>
      </w:pPr>
      <w:r>
        <w:t xml:space="preserve">Room service, in-room entertainment, minibar, and hotel laundry are reimbursable only on trips of five or more consecutive nights, and laundry is capped at $75 per trip.</w:t>
      </w:r>
    </w:p>
    <w:p>
      <w:pPr>
        <w:pStyle w:val="Compact"/>
        <w:numPr>
          <w:ilvl w:val="0"/>
          <w:numId w:val="1004"/>
        </w:numPr>
      </w:pPr>
      <w:r>
        <w:t xml:space="preserve">Short-term rentals may be used where cheaper than the applicable cap and booked through the travel tool.</w:t>
      </w:r>
    </w:p>
    <w:bookmarkEnd w:id="15"/>
    <w:bookmarkStart w:id="16" w:name="meals-and-per-diem"/>
    <w:p>
      <w:pPr>
        <w:pStyle w:val="Heading2"/>
      </w:pPr>
      <w:r>
        <w:t xml:space="preserve">7. Meals and Per Diem</w:t>
      </w:r>
    </w:p>
    <w:p>
      <w:pPr>
        <w:pStyle w:val="Compact"/>
        <w:numPr>
          <w:ilvl w:val="0"/>
          <w:numId w:val="1006"/>
        </w:numPr>
      </w:pPr>
      <w:r>
        <w:t xml:space="preserve">Travelers may claim actual meal costs supported by receipts, or elect the per-diem rate for the destination city tier. The election is made for the whole trip and cannot be mixed with actual-cost claims for the same day.</w:t>
      </w:r>
    </w:p>
    <w:p>
      <w:pPr>
        <w:pStyle w:val="Compact"/>
        <w:numPr>
          <w:ilvl w:val="0"/>
          <w:numId w:val="1006"/>
        </w:numPr>
      </w:pPr>
      <w:r>
        <w:t xml:space="preserve">Daily meal limits, whether claimed as actual cost or as per diem, are:</w:t>
      </w:r>
    </w:p>
    <w:p>
      <w:pPr>
        <w:pStyle w:val="Compact"/>
        <w:numPr>
          <w:ilvl w:val="1"/>
          <w:numId w:val="1007"/>
        </w:numPr>
      </w:pPr>
      <w:r>
        <w:t xml:space="preserve">Tier 1 cities: $95 per day</w:t>
      </w:r>
    </w:p>
    <w:p>
      <w:pPr>
        <w:pStyle w:val="Compact"/>
        <w:numPr>
          <w:ilvl w:val="1"/>
          <w:numId w:val="1007"/>
        </w:numPr>
      </w:pPr>
      <w:r>
        <w:t xml:space="preserve">Tier 2 cities: $75 per day</w:t>
      </w:r>
    </w:p>
    <w:p>
      <w:pPr>
        <w:pStyle w:val="Compact"/>
        <w:numPr>
          <w:ilvl w:val="1"/>
          <w:numId w:val="1007"/>
        </w:numPr>
      </w:pPr>
      <w:r>
        <w:t xml:space="preserve">Tier 3, all other locations: $60 per day</w:t>
      </w:r>
    </w:p>
    <w:p>
      <w:pPr>
        <w:pStyle w:val="Compact"/>
        <w:numPr>
          <w:ilvl w:val="0"/>
          <w:numId w:val="1006"/>
        </w:numPr>
      </w:pPr>
      <w:r>
        <w:t xml:space="preserve">Days on which travel begins or ends are claimed at 75 percent of the daily rate.</w:t>
      </w:r>
    </w:p>
    <w:p>
      <w:pPr>
        <w:pStyle w:val="Compact"/>
        <w:numPr>
          <w:ilvl w:val="0"/>
          <w:numId w:val="1006"/>
        </w:numPr>
      </w:pPr>
      <w:r>
        <w:t xml:space="preserve">Alcohol is reimbursable only as part of a customer, candidate, or team meal, is capped at two drinks per person, and is never claimed against a per diem.</w:t>
      </w:r>
    </w:p>
    <w:p>
      <w:pPr>
        <w:pStyle w:val="Compact"/>
        <w:numPr>
          <w:ilvl w:val="0"/>
          <w:numId w:val="1006"/>
        </w:numPr>
      </w:pPr>
      <w:r>
        <w:t xml:space="preserve">Business meals with customers, partners, or candidates are claimed at actual cost, are not limited by the daily meal limit, and require the attendee list, their organizations, and the business purpose on the report.</w:t>
      </w:r>
    </w:p>
    <w:p>
      <w:pPr>
        <w:pStyle w:val="Compact"/>
        <w:numPr>
          <w:ilvl w:val="0"/>
          <w:numId w:val="1006"/>
        </w:numPr>
      </w:pPr>
      <w:r>
        <w:t xml:space="preserve">Team meals with no external guest require Vice President approval when the total exceeds $75 per attendee.</w:t>
      </w:r>
    </w:p>
    <w:bookmarkEnd w:id="16"/>
    <w:bookmarkStart w:id="17" w:name="ground-transportation"/>
    <w:p>
      <w:pPr>
        <w:pStyle w:val="Heading2"/>
      </w:pPr>
      <w:r>
        <w:t xml:space="preserve">8. Ground Transportation</w:t>
      </w:r>
    </w:p>
    <w:p>
      <w:pPr>
        <w:pStyle w:val="Compact"/>
        <w:numPr>
          <w:ilvl w:val="0"/>
          <w:numId w:val="1008"/>
        </w:numPr>
      </w:pPr>
      <w:r>
        <w:t xml:space="preserve">Travelers use the least costly reasonable option: airport transit, shared ride, or standard rideshare. Premium rideshare tiers are not reimbursable.</w:t>
      </w:r>
    </w:p>
    <w:p>
      <w:pPr>
        <w:pStyle w:val="Compact"/>
        <w:numPr>
          <w:ilvl w:val="0"/>
          <w:numId w:val="1008"/>
        </w:numPr>
      </w:pPr>
      <w:r>
        <w:t xml:space="preserve">Rental cars are booked at intermediate class or below using the Company’s negotiated rate, which includes the required insurance. Decline additional counter coverage in the United States; accept it for international rentals.</w:t>
      </w:r>
    </w:p>
    <w:p>
      <w:pPr>
        <w:pStyle w:val="Compact"/>
        <w:numPr>
          <w:ilvl w:val="0"/>
          <w:numId w:val="1008"/>
        </w:numPr>
      </w:pPr>
      <w:r>
        <w:t xml:space="preserve">Personal vehicle mileage for business use is reimbursed at the prevailing IRS standard mileage rate, less the traveler’s normal commute mileage for that day. Fuel is not separately reimbursable when mileage is claimed.</w:t>
      </w:r>
    </w:p>
    <w:p>
      <w:pPr>
        <w:pStyle w:val="Compact"/>
        <w:numPr>
          <w:ilvl w:val="0"/>
          <w:numId w:val="1008"/>
        </w:numPr>
      </w:pPr>
      <w:r>
        <w:t xml:space="preserve">Parking and tolls are reimbursable with receipts. Parking fines, moving violations, and towing charges are not.</w:t>
      </w:r>
    </w:p>
    <w:p>
      <w:pPr>
        <w:pStyle w:val="Compact"/>
        <w:numPr>
          <w:ilvl w:val="0"/>
          <w:numId w:val="1008"/>
        </w:numPr>
      </w:pPr>
      <w:r>
        <w:t xml:space="preserve">Commuting between the traveler’s home and their assigned office is never reimbursable, including on weekends and outside normal hours.</w:t>
      </w:r>
    </w:p>
    <w:bookmarkEnd w:id="17"/>
    <w:bookmarkStart w:id="18" w:name="corporate-card"/>
    <w:p>
      <w:pPr>
        <w:pStyle w:val="Heading2"/>
      </w:pPr>
      <w:r>
        <w:t xml:space="preserve">9. Corporate Card</w:t>
      </w:r>
    </w:p>
    <w:p>
      <w:pPr>
        <w:pStyle w:val="Compact"/>
        <w:numPr>
          <w:ilvl w:val="0"/>
          <w:numId w:val="1009"/>
        </w:numPr>
      </w:pPr>
      <w:r>
        <w:t xml:space="preserve">Corporate cards are issued to employees who travel more than twice a year or who incur regular business expenses, on approval by the employee’s Vice President and by Finance Operations.</w:t>
      </w:r>
    </w:p>
    <w:p>
      <w:pPr>
        <w:pStyle w:val="Compact"/>
        <w:numPr>
          <w:ilvl w:val="0"/>
          <w:numId w:val="1009"/>
        </w:numPr>
      </w:pPr>
      <w:r>
        <w:t xml:space="preserve">The card is used for business expenses only. Personal charges must be repaid to the Company within ten days of the statement date.</w:t>
      </w:r>
    </w:p>
    <w:p>
      <w:pPr>
        <w:pStyle w:val="Compact"/>
        <w:numPr>
          <w:ilvl w:val="0"/>
          <w:numId w:val="1009"/>
        </w:numPr>
      </w:pPr>
      <w:r>
        <w:t xml:space="preserve">Cardholders reconcile every charge to an expense report within the submission window in Section 11. Cards with charges unreconciled for more than 60 days are suspended by Finance Operations and reinstated only after the reports are filed.</w:t>
      </w:r>
    </w:p>
    <w:p>
      <w:pPr>
        <w:pStyle w:val="Compact"/>
        <w:numPr>
          <w:ilvl w:val="0"/>
          <w:numId w:val="1009"/>
        </w:numPr>
      </w:pPr>
      <w:r>
        <w:t xml:space="preserve">Cash advances on the corporate card are prohibited.</w:t>
      </w:r>
    </w:p>
    <w:p>
      <w:pPr>
        <w:pStyle w:val="Compact"/>
        <w:numPr>
          <w:ilvl w:val="0"/>
          <w:numId w:val="1009"/>
        </w:numPr>
      </w:pPr>
      <w:r>
        <w:t xml:space="preserve">Lost or stolen cards are reported to the issuer and to Finance Operations immediately. Cards are surrendered on separation, and the final expense report is filed before the last working day.</w:t>
      </w:r>
    </w:p>
    <w:bookmarkEnd w:id="18"/>
    <w:bookmarkStart w:id="19" w:name="receipts-and-documentation"/>
    <w:p>
      <w:pPr>
        <w:pStyle w:val="Heading2"/>
      </w:pPr>
      <w:r>
        <w:t xml:space="preserve">10. Receipts and Documentation</w:t>
      </w:r>
    </w:p>
    <w:p>
      <w:pPr>
        <w:pStyle w:val="Compact"/>
        <w:numPr>
          <w:ilvl w:val="0"/>
          <w:numId w:val="1010"/>
        </w:numPr>
      </w:pPr>
      <w:r>
        <w:t xml:space="preserve">An itemized receipt is required for every expense of $75 or more. Card statements, summary totals, and booking confirmations are not itemized receipts.</w:t>
      </w:r>
    </w:p>
    <w:p>
      <w:pPr>
        <w:pStyle w:val="Compact"/>
        <w:numPr>
          <w:ilvl w:val="0"/>
          <w:numId w:val="1010"/>
        </w:numPr>
      </w:pPr>
      <w:r>
        <w:t xml:space="preserve">Hotel folios are required in all cases regardless of amount, because the folio substantiates the nightly rate, the taxes, and any incidental charges.</w:t>
      </w:r>
    </w:p>
    <w:p>
      <w:pPr>
        <w:pStyle w:val="Compact"/>
        <w:numPr>
          <w:ilvl w:val="0"/>
          <w:numId w:val="1010"/>
        </w:numPr>
      </w:pPr>
      <w:r>
        <w:t xml:space="preserve">Where a receipt is genuinely unavailable, the traveler submits a missing receipt declaration giving the expense, amount, date, vendor, and business purpose. More than three declarations in a rolling twelve months requires the approval of the Corporate Controller.</w:t>
      </w:r>
    </w:p>
    <w:p>
      <w:pPr>
        <w:pStyle w:val="Compact"/>
        <w:numPr>
          <w:ilvl w:val="0"/>
          <w:numId w:val="1010"/>
        </w:numPr>
      </w:pPr>
      <w:r>
        <w:t xml:space="preserve">Foreign-currency expenses are converted at the card issuer’s rate, or at the published rate on the transaction date for out-of-pocket expenses.</w:t>
      </w:r>
    </w:p>
    <w:bookmarkEnd w:id="19"/>
    <w:bookmarkStart w:id="20" w:name="submission-and-approval"/>
    <w:p>
      <w:pPr>
        <w:pStyle w:val="Heading2"/>
      </w:pPr>
      <w:r>
        <w:t xml:space="preserve">11. Submission and Approval</w:t>
      </w:r>
    </w:p>
    <w:p>
      <w:pPr>
        <w:pStyle w:val="Compact"/>
        <w:numPr>
          <w:ilvl w:val="0"/>
          <w:numId w:val="1011"/>
        </w:numPr>
      </w:pPr>
      <w:r>
        <w:t xml:space="preserve">Expense reports are submitted within 30 days of the expense being incurred or, for a trip, within 30 days of the return date. Reports submitted more than 90 days after the expense date require the approval of the Chief Financial Officer and may be treated as taxable income to the employee.</w:t>
      </w:r>
    </w:p>
    <w:p>
      <w:pPr>
        <w:pStyle w:val="Compact"/>
        <w:numPr>
          <w:ilvl w:val="0"/>
          <w:numId w:val="1011"/>
        </w:numPr>
      </w:pPr>
      <w:r>
        <w:t xml:space="preserve">Reports are approved at the following thresholds, by report total:</w:t>
      </w:r>
    </w:p>
    <w:p>
      <w:pPr>
        <w:pStyle w:val="Compact"/>
        <w:numPr>
          <w:ilvl w:val="1"/>
          <w:numId w:val="1012"/>
        </w:numPr>
      </w:pPr>
      <w:r>
        <w:t xml:space="preserve">Up to $2,500: the employee’s manager</w:t>
      </w:r>
    </w:p>
    <w:p>
      <w:pPr>
        <w:pStyle w:val="Compact"/>
        <w:numPr>
          <w:ilvl w:val="1"/>
          <w:numId w:val="1012"/>
        </w:numPr>
      </w:pPr>
      <w:r>
        <w:t xml:space="preserve">Above $2,500 and up to $10,000: a Vice President</w:t>
      </w:r>
    </w:p>
    <w:p>
      <w:pPr>
        <w:pStyle w:val="Compact"/>
        <w:numPr>
          <w:ilvl w:val="1"/>
          <w:numId w:val="1012"/>
        </w:numPr>
      </w:pPr>
      <w:r>
        <w:t xml:space="preserve">Above $10,000 and up to $25,000: a Vice President and the Corporate Controller</w:t>
      </w:r>
    </w:p>
    <w:p>
      <w:pPr>
        <w:pStyle w:val="Compact"/>
        <w:numPr>
          <w:ilvl w:val="1"/>
          <w:numId w:val="1012"/>
        </w:numPr>
      </w:pPr>
      <w:r>
        <w:t xml:space="preserve">Above $25,000: the Chief Financial Officer</w:t>
      </w:r>
    </w:p>
    <w:p>
      <w:pPr>
        <w:pStyle w:val="Compact"/>
        <w:numPr>
          <w:ilvl w:val="0"/>
          <w:numId w:val="1011"/>
        </w:numPr>
      </w:pPr>
      <w:r>
        <w:t xml:space="preserve">Finance Operations audits a sample of reports each month, and every report containing a missing receipt declaration or an exception approval.</w:t>
      </w:r>
    </w:p>
    <w:p>
      <w:pPr>
        <w:pStyle w:val="Compact"/>
        <w:numPr>
          <w:ilvl w:val="0"/>
          <w:numId w:val="1011"/>
        </w:numPr>
      </w:pPr>
      <w:r>
        <w:t xml:space="preserve">Approved reimbursements are paid on the next disbursement run, normally within ten business days.</w:t>
      </w:r>
    </w:p>
    <w:p>
      <w:pPr>
        <w:pStyle w:val="Compact"/>
        <w:numPr>
          <w:ilvl w:val="0"/>
          <w:numId w:val="1011"/>
        </w:numPr>
      </w:pPr>
      <w:r>
        <w:t xml:space="preserve">Approvers are accountable for the business purpose, the policy limits, and the coding of what they approve.</w:t>
      </w:r>
    </w:p>
    <w:bookmarkEnd w:id="20"/>
    <w:bookmarkStart w:id="21" w:name="non-reimbursable-expenses"/>
    <w:p>
      <w:pPr>
        <w:pStyle w:val="Heading2"/>
      </w:pPr>
      <w:r>
        <w:t xml:space="preserve">12. Non-Reimbursable Expenses</w:t>
      </w:r>
    </w:p>
    <w:p>
      <w:pPr>
        <w:pStyle w:val="FirstParagraph"/>
      </w:pPr>
      <w:r>
        <w:t xml:space="preserve">The following are not reimbursed: first class air travel; premium rideshare tiers; airline lounge memberships and travel-club fees; traffic and parking fines; personal entertainment, spa, and fitness charges; childcare and pet care; personal travel insurance; hotel no-show and late cancellation fees not caused by a documented business change; upgrades of any kind purchased at the point of service; personal purchases on the corporate card; charitable and political contributions; gifts to public officials; and expenses already reimbursed by a customer or a third party.</w:t>
      </w:r>
    </w:p>
    <w:bookmarkEnd w:id="21"/>
    <w:bookmarkStart w:id="22" w:name="exceptions"/>
    <w:p>
      <w:pPr>
        <w:pStyle w:val="Heading2"/>
      </w:pPr>
      <w:r>
        <w:t xml:space="preserve">13. Exceptions</w:t>
      </w:r>
    </w:p>
    <w:p>
      <w:pPr>
        <w:pStyle w:val="FirstParagraph"/>
      </w:pPr>
      <w:r>
        <w:t xml:space="preserve">Exceptions require written approval before the expense is incurred, from a Vice President for amounts up to $10,000 and from the Chief Financial Officer above that. Requests go to finance-ops@atticusdundee.example with the business justification, the amount, and the provision at issue, and the approval is attached to the expense report. Retroactive requests are considered only where the traveler could not reasonably have sought approval in advance.</w:t>
      </w:r>
    </w:p>
    <w:bookmarkEnd w:id="22"/>
    <w:bookmarkStart w:id="23" w:name="enforcement"/>
    <w:p>
      <w:pPr>
        <w:pStyle w:val="Heading2"/>
      </w:pPr>
      <w:r>
        <w:t xml:space="preserve">14. Enforcement</w:t>
      </w:r>
    </w:p>
    <w:p>
      <w:pPr>
        <w:pStyle w:val="FirstParagraph"/>
      </w:pPr>
      <w:r>
        <w:t xml:space="preserve">Submitting an expense that was not incurred, altering a receipt, splitting a transaction to stay under an approval threshold, or persistent late submission may result in withdrawal of the corporate card, recovery of amounts paid, and disciplinary action up to and including termination of employment. Suspected expense fraud is referred to the Chief Financial Officer and the General Counsel.</w:t>
      </w:r>
    </w:p>
    <w:bookmarkEnd w:id="23"/>
    <w:bookmarkStart w:id="24" w:name="related-documents"/>
    <w:p>
      <w:pPr>
        <w:pStyle w:val="Heading2"/>
      </w:pPr>
      <w:r>
        <w:t xml:space="preserve">15. Related Documents</w:t>
      </w:r>
    </w:p>
    <w:p>
      <w:pPr>
        <w:pStyle w:val="Compact"/>
        <w:numPr>
          <w:ilvl w:val="0"/>
          <w:numId w:val="1013"/>
        </w:numPr>
      </w:pPr>
      <w:r>
        <w:t xml:space="preserve">ADI-POL-002, Remote Work Policy</w:t>
      </w:r>
    </w:p>
    <w:p>
      <w:pPr>
        <w:pStyle w:val="Compact"/>
        <w:numPr>
          <w:ilvl w:val="0"/>
          <w:numId w:val="1013"/>
        </w:numPr>
      </w:pPr>
      <w:r>
        <w:t xml:space="preserve">ADI-POL-003, Acceptable Use Policy</w:t>
      </w:r>
    </w:p>
    <w:p>
      <w:pPr>
        <w:pStyle w:val="Compact"/>
        <w:numPr>
          <w:ilvl w:val="0"/>
          <w:numId w:val="1013"/>
        </w:numPr>
      </w:pPr>
      <w:r>
        <w:t xml:space="preserve">ADI-HR-001, Employee Handbook</w:t>
      </w:r>
    </w:p>
    <w:p>
      <w:pPr>
        <w:pStyle w:val="Compact"/>
        <w:numPr>
          <w:ilvl w:val="0"/>
          <w:numId w:val="1013"/>
        </w:numPr>
      </w:pPr>
      <w:r>
        <w:t xml:space="preserve">Corporate Card Agreement (Finance Operations intranet)</w:t>
      </w:r>
    </w:p>
    <w:p>
      <w:pPr>
        <w:pStyle w:val="Compact"/>
        <w:numPr>
          <w:ilvl w:val="0"/>
          <w:numId w:val="1013"/>
        </w:numPr>
      </w:pPr>
      <w:r>
        <w:t xml:space="preserve">Missing Receipt Declaration form (expense system)</w:t>
      </w:r>
    </w:p>
    <w:bookmarkEnd w:id="24"/>
    <w:bookmarkStart w:id="25"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3.0</w:t>
            </w:r>
          </w:p>
        </w:tc>
        <w:tc>
          <w:tcPr/>
          <w:p>
            <w:pPr>
              <w:pStyle w:val="Compact"/>
            </w:pPr>
            <w:r>
              <w:t xml:space="preserve">2021-01-11</w:t>
            </w:r>
          </w:p>
        </w:tc>
        <w:tc>
          <w:tcPr/>
          <w:p>
            <w:pPr>
              <w:pStyle w:val="Compact"/>
            </w:pPr>
            <w:r>
              <w:t xml:space="preserve">Restated policy for the current travel program and expense system.</w:t>
            </w:r>
          </w:p>
        </w:tc>
        <w:tc>
          <w:tcPr/>
          <w:p>
            <w:pPr>
              <w:pStyle w:val="Compact"/>
            </w:pPr>
            <w:r>
              <w:t xml:space="preserve">Marlene Sipowicz</w:t>
            </w:r>
          </w:p>
        </w:tc>
      </w:tr>
      <w:tr>
        <w:tc>
          <w:tcPr/>
          <w:p>
            <w:pPr>
              <w:pStyle w:val="Compact"/>
            </w:pPr>
            <w:r>
              <w:t xml:space="preserve">4.0</w:t>
            </w:r>
          </w:p>
        </w:tc>
        <w:tc>
          <w:tcPr/>
          <w:p>
            <w:pPr>
              <w:pStyle w:val="Compact"/>
            </w:pPr>
            <w:r>
              <w:t xml:space="preserve">2023-02-06</w:t>
            </w:r>
          </w:p>
        </w:tc>
        <w:tc>
          <w:tcPr/>
          <w:p>
            <w:pPr>
              <w:pStyle w:val="Compact"/>
            </w:pPr>
            <w:r>
              <w:t xml:space="preserve">Introduced city tier caps for lodging and meals; added corporate card reconciliation requirements.</w:t>
            </w:r>
          </w:p>
        </w:tc>
        <w:tc>
          <w:tcPr/>
          <w:p>
            <w:pPr>
              <w:pStyle w:val="Compact"/>
            </w:pPr>
            <w:r>
              <w:t xml:space="preserve">Marlene Sipowicz</w:t>
            </w:r>
          </w:p>
        </w:tc>
      </w:tr>
      <w:tr>
        <w:tc>
          <w:tcPr/>
          <w:p>
            <w:pPr>
              <w:pStyle w:val="Compact"/>
            </w:pPr>
            <w:r>
              <w:t xml:space="preserve">4.1</w:t>
            </w:r>
          </w:p>
        </w:tc>
        <w:tc>
          <w:tcPr/>
          <w:p>
            <w:pPr>
              <w:pStyle w:val="Compact"/>
            </w:pPr>
            <w:r>
              <w:t xml:space="preserve">2024-03-18</w:t>
            </w:r>
          </w:p>
        </w:tc>
        <w:tc>
          <w:tcPr/>
          <w:p>
            <w:pPr>
              <w:pStyle w:val="Compact"/>
            </w:pPr>
            <w:r>
              <w:t xml:space="preserve">Added advance-purchase requirements and the premium economy threshold.</w:t>
            </w:r>
          </w:p>
        </w:tc>
        <w:tc>
          <w:tcPr/>
          <w:p>
            <w:pPr>
              <w:pStyle w:val="Compact"/>
            </w:pPr>
            <w:r>
              <w:t xml:space="preserve">Marlene Sipowicz</w:t>
            </w:r>
          </w:p>
        </w:tc>
      </w:tr>
      <w:tr>
        <w:tc>
          <w:tcPr/>
          <w:p>
            <w:pPr>
              <w:pStyle w:val="Compact"/>
            </w:pPr>
            <w:r>
              <w:t xml:space="preserve">4.2</w:t>
            </w:r>
          </w:p>
        </w:tc>
        <w:tc>
          <w:tcPr/>
          <w:p>
            <w:pPr>
              <w:pStyle w:val="Compact"/>
            </w:pPr>
            <w:r>
              <w:t xml:space="preserve">2025-01-27</w:t>
            </w:r>
          </w:p>
        </w:tc>
        <w:tc>
          <w:tcPr/>
          <w:p>
            <w:pPr>
              <w:pStyle w:val="Compact"/>
            </w:pPr>
            <w:r>
              <w:t xml:space="preserve">Raised the receipt threshold to $75; clarified per-diem election and partial travel days.</w:t>
            </w:r>
          </w:p>
        </w:tc>
        <w:tc>
          <w:tcPr/>
          <w:p>
            <w:pPr>
              <w:pStyle w:val="Compact"/>
            </w:pPr>
            <w:r>
              <w:t xml:space="preserve">Marlene Sipowicz</w:t>
            </w:r>
          </w:p>
        </w:tc>
      </w:tr>
      <w:tr>
        <w:tc>
          <w:tcPr/>
          <w:p>
            <w:pPr>
              <w:pStyle w:val="Compact"/>
            </w:pPr>
            <w:r>
              <w:t xml:space="preserve">4.3</w:t>
            </w:r>
          </w:p>
        </w:tc>
        <w:tc>
          <w:tcPr/>
          <w:p>
            <w:pPr>
              <w:pStyle w:val="Compact"/>
            </w:pPr>
            <w:r>
              <w:t xml:space="preserve">2025-10-15</w:t>
            </w:r>
          </w:p>
        </w:tc>
        <w:tc>
          <w:tcPr/>
          <w:p>
            <w:pPr>
              <w:pStyle w:val="Compact"/>
            </w:pPr>
            <w:r>
              <w:t xml:space="preserve">Updated lodging caps and city tier assignments; revised approval thresholds; added corporate card suspension for unreconciled charges.</w:t>
            </w:r>
          </w:p>
        </w:tc>
        <w:tc>
          <w:tcPr/>
          <w:p>
            <w:pPr>
              <w:pStyle w:val="Compact"/>
            </w:pPr>
            <w:r>
              <w:t xml:space="preserve">Daniel Osei-Bonsu</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2026-08-09T03:07:34Z</dcterms:created>
  <dcterms:modified xsi:type="dcterms:W3CDTF">2026-08-09T03:07:34Z</dcterms:modified>
</cp:coreProperties>
</file>

<file path=docProps/custom.xml><?xml version="1.0" encoding="utf-8"?>
<Properties xmlns="http://schemas.openxmlformats.org/officeDocument/2006/custom-properties" xmlns:vt="http://schemas.openxmlformats.org/officeDocument/2006/docPropsVTypes"/>
</file>