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3102a89a6f69510e766b60f7c6898154013155e"/>
    <w:p>
      <w:pPr>
        <w:pStyle w:val="Heading1"/>
      </w:pPr>
      <w:r>
        <w:t xml:space="preserve">Internal Policy Library and Policy Register</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ADI-POL-000</w:t>
            </w:r>
          </w:p>
        </w:tc>
      </w:tr>
      <w:tr>
        <w:tc>
          <w:tcPr/>
          <w:p>
            <w:pPr>
              <w:pStyle w:val="Compact"/>
            </w:pPr>
            <w:r>
              <w:t xml:space="preserve">Version</w:t>
            </w:r>
          </w:p>
        </w:tc>
        <w:tc>
          <w:tcPr/>
          <w:p>
            <w:pPr>
              <w:pStyle w:val="Compact"/>
            </w:pPr>
            <w:r>
              <w:t xml:space="preserve">2.1</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Priya Raghunathan, General Counsel and Corporate Secretary</w:t>
            </w:r>
          </w:p>
        </w:tc>
      </w:tr>
      <w:tr>
        <w:tc>
          <w:tcPr/>
          <w:p>
            <w:pPr>
              <w:pStyle w:val="Compact"/>
            </w:pPr>
            <w:r>
              <w:t xml:space="preserve">Approver</w:t>
            </w:r>
          </w:p>
        </w:tc>
        <w:tc>
          <w:tcPr/>
          <w:p>
            <w:pPr>
              <w:pStyle w:val="Compact"/>
            </w:pPr>
            <w:r>
              <w:t xml:space="preserve">Executive Leadership Team</w:t>
            </w:r>
          </w:p>
        </w:tc>
      </w:tr>
      <w:tr>
        <w:tc>
          <w:tcPr/>
          <w:p>
            <w:pPr>
              <w:pStyle w:val="Compact"/>
            </w:pPr>
            <w:r>
              <w:t xml:space="preserve">Effective Date</w:t>
            </w:r>
          </w:p>
        </w:tc>
        <w:tc>
          <w:tcPr/>
          <w:p>
            <w:pPr>
              <w:pStyle w:val="Compact"/>
            </w:pPr>
            <w:r>
              <w:t xml:space="preserve">2024-01-08</w:t>
            </w:r>
          </w:p>
        </w:tc>
      </w:tr>
      <w:tr>
        <w:tc>
          <w:tcPr/>
          <w:p>
            <w:pPr>
              <w:pStyle w:val="Compact"/>
            </w:pPr>
            <w:r>
              <w:t xml:space="preserve">Last Reviewed</w:t>
            </w:r>
          </w:p>
        </w:tc>
        <w:tc>
          <w:tcPr/>
          <w:p>
            <w:pPr>
              <w:pStyle w:val="Compact"/>
            </w:pPr>
            <w:r>
              <w:t xml:space="preserve">2026-07-06</w:t>
            </w:r>
          </w:p>
        </w:tc>
      </w:tr>
      <w:tr>
        <w:tc>
          <w:tcPr/>
          <w:p>
            <w:pPr>
              <w:pStyle w:val="Compact"/>
            </w:pPr>
            <w:r>
              <w:t xml:space="preserve">Next Review Due</w:t>
            </w:r>
          </w:p>
        </w:tc>
        <w:tc>
          <w:tcPr/>
          <w:p>
            <w:pPr>
              <w:pStyle w:val="Compact"/>
            </w:pPr>
            <w:r>
              <w:t xml:space="preserve">2027-07-06</w:t>
            </w:r>
          </w:p>
        </w:tc>
      </w:tr>
      <w:tr>
        <w:tc>
          <w:tcPr/>
          <w:p>
            <w:pPr>
              <w:pStyle w:val="Compact"/>
            </w:pPr>
            <w:r>
              <w:t xml:space="preserve">Supersedes</w:t>
            </w:r>
          </w:p>
        </w:tc>
        <w:tc>
          <w:tcPr/>
          <w:p>
            <w:pPr>
              <w:pStyle w:val="Compact"/>
            </w:pPr>
            <w:r>
              <w:t xml:space="preserve">ADI-POL-000 v2.0</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The internal policy library is the single, controlled collection of the policies, standards, and accounting policy memoranda that govern how Atticus Dundee Inc. operates. This document explains what the library is for, how documents enter and move through it, who is accountable for each one, and how to read the control metadata that appears at the top of every document.</w:t>
      </w:r>
    </w:p>
    <w:p>
      <w:pPr>
        <w:pStyle w:val="BodyText"/>
      </w:pPr>
      <w:r>
        <w:t xml:space="preserve">The library exists so that any employee, auditor, customer, or regulator asking</w:t>
      </w:r>
      <w:r>
        <w:t xml:space="preserve"> </w:t>
      </w:r>
      <w:r>
        <w:t xml:space="preserve">“what is the Company’s policy on this”</w:t>
      </w:r>
      <w:r>
        <w:t xml:space="preserve"> </w:t>
      </w:r>
      <w:r>
        <w:t xml:space="preserve">can be given one answer, from one place, with a version and an effective date attached to it. Guidance that lives only in a team wiki, a chat thread, or an individual’s memory is not Company policy.</w:t>
      </w:r>
    </w:p>
    <w:bookmarkEnd w:id="10"/>
    <w:bookmarkStart w:id="11" w:name="scope"/>
    <w:p>
      <w:pPr>
        <w:pStyle w:val="Heading2"/>
      </w:pPr>
      <w:r>
        <w:t xml:space="preserve">2. Scope</w:t>
      </w:r>
    </w:p>
    <w:p>
      <w:pPr>
        <w:pStyle w:val="FirstParagraph"/>
      </w:pPr>
      <w:r>
        <w:t xml:space="preserve">The library covers documents that state binding requirements applying beyond a single team: corporate policies, accounting policy memoranda, and the employee handbook. It does not cover contracts, customer-facing terms, board resolutions, team-level runbooks and standard operating procedures, or training material. Those are governed by their own processes and are held elsewhere.</w:t>
      </w:r>
    </w:p>
    <w:p>
      <w:pPr>
        <w:pStyle w:val="BodyText"/>
      </w:pPr>
      <w:r>
        <w:t xml:space="preserve">Every document in the library is listed in the register in Section 7. A document that is not in the register is not part of the library.</w:t>
      </w:r>
    </w:p>
    <w:bookmarkEnd w:id="11"/>
    <w:bookmarkStart w:id="12" w:name="how-the-review-cycle-works"/>
    <w:p>
      <w:pPr>
        <w:pStyle w:val="Heading2"/>
      </w:pPr>
      <w:r>
        <w:t xml:space="preserve">3. How the Review Cycle Works</w:t>
      </w:r>
    </w:p>
    <w:p>
      <w:pPr>
        <w:pStyle w:val="Compact"/>
        <w:numPr>
          <w:ilvl w:val="0"/>
          <w:numId w:val="1001"/>
        </w:numPr>
      </w:pPr>
      <w:r>
        <w:rPr>
          <w:b/>
          <w:bCs/>
        </w:rPr>
        <w:t xml:space="preserve">Standard cadence.</w:t>
      </w:r>
      <w:r>
        <w:t xml:space="preserve"> </w:t>
      </w:r>
      <w:r>
        <w:t xml:space="preserve">Policies and the employee handbook are reviewed on a 12-month cycle. The next review date recorded in a document’s control block is set to 12 months after the date of its last review. Accounting policy memoranda follow a 24-month cycle, reflecting the pace at which the underlying standards and the Company’s application of them change.</w:t>
      </w:r>
    </w:p>
    <w:p>
      <w:pPr>
        <w:pStyle w:val="Compact"/>
        <w:numPr>
          <w:ilvl w:val="0"/>
          <w:numId w:val="1001"/>
        </w:numPr>
      </w:pPr>
      <w:r>
        <w:rPr>
          <w:b/>
          <w:bCs/>
        </w:rPr>
        <w:t xml:space="preserve">Off-cycle review.</w:t>
      </w:r>
      <w:r>
        <w:t xml:space="preserve"> </w:t>
      </w:r>
      <w:r>
        <w:t xml:space="preserve">A document is reviewed ahead of its cycle whenever a change in law or accounting standard, a customer or audit commitment, an incident, a reorganization, or a material change in Company operations affects what the document says.</w:t>
      </w:r>
    </w:p>
    <w:p>
      <w:pPr>
        <w:pStyle w:val="Compact"/>
        <w:numPr>
          <w:ilvl w:val="0"/>
          <w:numId w:val="1001"/>
        </w:numPr>
      </w:pPr>
      <w:r>
        <w:rPr>
          <w:b/>
          <w:bCs/>
        </w:rPr>
        <w:t xml:space="preserve">Conducting the review.</w:t>
      </w:r>
      <w:r>
        <w:t xml:space="preserve"> </w:t>
      </w:r>
      <w:r>
        <w:t xml:space="preserve">The owner reads the document against current practice, confirms that referenced systems, roles, contact addresses, and related documents still exist, consults the functions affected, and decides whether the document is reissued unchanged, amended, replaced, or retired.</w:t>
      </w:r>
    </w:p>
    <w:p>
      <w:pPr>
        <w:pStyle w:val="Compact"/>
        <w:numPr>
          <w:ilvl w:val="0"/>
          <w:numId w:val="1001"/>
        </w:numPr>
      </w:pPr>
      <w:r>
        <w:rPr>
          <w:b/>
          <w:bCs/>
        </w:rPr>
        <w:t xml:space="preserve">Recording the outcome.</w:t>
      </w:r>
      <w:r>
        <w:t xml:space="preserve"> </w:t>
      </w:r>
      <w:r>
        <w:t xml:space="preserve">Every review, including one that results in no substantive change, is recorded by updating the Last Reviewed and Next Review Due fields. Substantive changes require a new version number, a new effective date, an entry in the document’s version history, and approval by the named approver.</w:t>
      </w:r>
    </w:p>
    <w:p>
      <w:pPr>
        <w:pStyle w:val="Compact"/>
        <w:numPr>
          <w:ilvl w:val="0"/>
          <w:numId w:val="1001"/>
        </w:numPr>
      </w:pPr>
      <w:r>
        <w:rPr>
          <w:b/>
          <w:bCs/>
        </w:rPr>
        <w:t xml:space="preserve">Publication.</w:t>
      </w:r>
      <w:r>
        <w:t xml:space="preserve"> </w:t>
      </w:r>
      <w:r>
        <w:t xml:space="preserve">The Policy Office publishes the approved version, updates the register in Section 7, and notifies affected employees. Where a change alters what employees must do, notice is given at least 15 days before the effective date wherever practicable.</w:t>
      </w:r>
    </w:p>
    <w:p>
      <w:pPr>
        <w:pStyle w:val="Compact"/>
        <w:numPr>
          <w:ilvl w:val="0"/>
          <w:numId w:val="1001"/>
        </w:numPr>
      </w:pPr>
      <w:r>
        <w:rPr>
          <w:b/>
          <w:bCs/>
        </w:rPr>
        <w:t xml:space="preserve">Reporting.</w:t>
      </w:r>
      <w:r>
        <w:t xml:space="preserve"> </w:t>
      </w:r>
      <w:r>
        <w:t xml:space="preserve">The Policy Office reports the state of the library to the Audit and Risk Committee twice a year, listing documents issued, amended, retired, and superseded in the period, together with the open exception register.</w:t>
      </w:r>
    </w:p>
    <w:bookmarkEnd w:id="12"/>
    <w:bookmarkStart w:id="13" w:name="owner-responsibilities"/>
    <w:p>
      <w:pPr>
        <w:pStyle w:val="Heading2"/>
      </w:pPr>
      <w:r>
        <w:t xml:space="preserve">4. Owner Responsibilities</w:t>
      </w:r>
    </w:p>
    <w:p>
      <w:pPr>
        <w:pStyle w:val="FirstParagraph"/>
      </w:pPr>
      <w:r>
        <w:t xml:space="preserve">Each document has one named owner, who is accountable for its content. Owners are expected to:</w:t>
      </w:r>
    </w:p>
    <w:p>
      <w:pPr>
        <w:pStyle w:val="Compact"/>
        <w:numPr>
          <w:ilvl w:val="0"/>
          <w:numId w:val="1002"/>
        </w:numPr>
      </w:pPr>
      <w:r>
        <w:t xml:space="preserve">Keep the document accurate and consistent with law, with contractual commitments, and with what the Company actually does.</w:t>
      </w:r>
    </w:p>
    <w:p>
      <w:pPr>
        <w:pStyle w:val="Compact"/>
        <w:numPr>
          <w:ilvl w:val="0"/>
          <w:numId w:val="1002"/>
        </w:numPr>
      </w:pPr>
      <w:r>
        <w:t xml:space="preserve">Complete the review on the cycle set out in Section 3 and record the outcome.</w:t>
      </w:r>
    </w:p>
    <w:p>
      <w:pPr>
        <w:pStyle w:val="Compact"/>
        <w:numPr>
          <w:ilvl w:val="0"/>
          <w:numId w:val="1002"/>
        </w:numPr>
      </w:pPr>
      <w:r>
        <w:t xml:space="preserve">Approve or route exception requests relating to their document, and keep the exception register current.</w:t>
      </w:r>
    </w:p>
    <w:p>
      <w:pPr>
        <w:pStyle w:val="Compact"/>
        <w:numPr>
          <w:ilvl w:val="0"/>
          <w:numId w:val="1002"/>
        </w:numPr>
      </w:pPr>
      <w:r>
        <w:t xml:space="preserve">Answer interpretation questions from employees and from the Policy Office.</w:t>
      </w:r>
    </w:p>
    <w:p>
      <w:pPr>
        <w:pStyle w:val="Compact"/>
        <w:numPr>
          <w:ilvl w:val="0"/>
          <w:numId w:val="1002"/>
        </w:numPr>
      </w:pPr>
      <w:r>
        <w:t xml:space="preserve">Notify the Policy Office when the document should be amended, retired, or superseded, and when accountability for the document should move to another role.</w:t>
      </w:r>
    </w:p>
    <w:p>
      <w:pPr>
        <w:pStyle w:val="FirstParagraph"/>
      </w:pPr>
      <w:r>
        <w:t xml:space="preserve">Where an owner changes role or leaves the Company, the owning function nominates a replacement owner and notifies the Policy Office, which updates the document control block and the register. Ownership sits with an accountable individual or, where a role is between holders, with the function that holds the document.</w:t>
      </w:r>
    </w:p>
    <w:bookmarkEnd w:id="13"/>
    <w:bookmarkStart w:id="14" w:name="exception-process"/>
    <w:p>
      <w:pPr>
        <w:pStyle w:val="Heading2"/>
      </w:pPr>
      <w:r>
        <w:t xml:space="preserve">5. Exception Process</w:t>
      </w:r>
    </w:p>
    <w:p>
      <w:pPr>
        <w:pStyle w:val="FirstParagraph"/>
      </w:pPr>
      <w:r>
        <w:t xml:space="preserve">An exception is a documented, time-limited authorization to depart from a stated requirement. Exceptions are requested before the departure occurs, not after.</w:t>
      </w:r>
    </w:p>
    <w:p>
      <w:pPr>
        <w:pStyle w:val="Compact"/>
        <w:numPr>
          <w:ilvl w:val="0"/>
          <w:numId w:val="1003"/>
        </w:numPr>
      </w:pPr>
      <w:r>
        <w:t xml:space="preserve">Requests are submitted to policy-office@atticusdundee.example, and must identify the document and the specific requirement, the departure sought, the business justification, the compensating controls, the population affected, and a proposed expiry date.</w:t>
      </w:r>
    </w:p>
    <w:p>
      <w:pPr>
        <w:pStyle w:val="Compact"/>
        <w:numPr>
          <w:ilvl w:val="0"/>
          <w:numId w:val="1003"/>
        </w:numPr>
      </w:pPr>
      <w:r>
        <w:t xml:space="preserve">The document owner approves or denies the request. Where the requirement carries legal, security, or financial-reporting consequence, the General Counsel, the Chief Information Security Officer, or the Chief Financial Officer respectively must also approve.</w:t>
      </w:r>
    </w:p>
    <w:p>
      <w:pPr>
        <w:pStyle w:val="Compact"/>
        <w:numPr>
          <w:ilvl w:val="0"/>
          <w:numId w:val="1003"/>
        </w:numPr>
      </w:pPr>
      <w:r>
        <w:t xml:space="preserve">Approved exceptions are recorded in the exception register with an expiry date no more than 12 months out. Exceptions lapse automatically on expiry unless renewed through the same process.</w:t>
      </w:r>
    </w:p>
    <w:p>
      <w:pPr>
        <w:pStyle w:val="Compact"/>
        <w:numPr>
          <w:ilvl w:val="0"/>
          <w:numId w:val="1003"/>
        </w:numPr>
      </w:pPr>
      <w:r>
        <w:t xml:space="preserve">Individual documents may set additional or stricter exception requirements. Where they do, those requirements govern.</w:t>
      </w:r>
    </w:p>
    <w:p>
      <w:pPr>
        <w:pStyle w:val="Compact"/>
        <w:numPr>
          <w:ilvl w:val="0"/>
          <w:numId w:val="1003"/>
        </w:numPr>
      </w:pPr>
      <w:r>
        <w:t xml:space="preserve">No exception may authorize a departure from applicable law, from a legal hold, or from a term the Company has committed to contractually.</w:t>
      </w:r>
    </w:p>
    <w:bookmarkEnd w:id="14"/>
    <w:bookmarkStart w:id="15" w:name="where-documents-live"/>
    <w:p>
      <w:pPr>
        <w:pStyle w:val="Heading2"/>
      </w:pPr>
      <w:r>
        <w:t xml:space="preserve">6. Where Documents Live</w:t>
      </w:r>
    </w:p>
    <w:p>
      <w:pPr>
        <w:pStyle w:val="FirstParagraph"/>
      </w:pPr>
      <w:r>
        <w:t xml:space="preserve">The controlled, authoritative copies of every document in the library are published in the Policy Library space on the Company intranet, which is the only location from which a document should be cited. Copies distributed by email, downloaded to a device, embedded in a training deck, or pasted into a chat are uncontrolled and may not reflect the current version.</w:t>
      </w:r>
    </w:p>
    <w:p>
      <w:pPr>
        <w:pStyle w:val="BodyText"/>
      </w:pPr>
      <w:r>
        <w:t xml:space="preserve">Superseded and retired versions are moved to the Policy Library archive, remain accessible for reference, and are retained in accordance with ADI-POL-001 (Data Retention Policy). Documents relating to a matter under legal hold are preserved regardless of retention period.</w:t>
      </w:r>
    </w:p>
    <w:p>
      <w:pPr>
        <w:pStyle w:val="BodyText"/>
      </w:pPr>
      <w:r>
        <w:t xml:space="preserve">The employee handbook and its state-specific supplements are additionally published in the HRIS, where employees complete their acknowledgment.</w:t>
      </w:r>
    </w:p>
    <w:bookmarkEnd w:id="15"/>
    <w:bookmarkStart w:id="16" w:name="policy-register"/>
    <w:p>
      <w:pPr>
        <w:pStyle w:val="Heading2"/>
      </w:pPr>
      <w:r>
        <w:t xml:space="preserve">7. Policy Register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Document ID</w:t>
            </w:r>
          </w:p>
        </w:tc>
        <w:tc>
          <w:tcPr/>
          <w:p>
            <w:pPr>
              <w:pStyle w:val="Compact"/>
            </w:pPr>
            <w:r>
              <w:t xml:space="preserve">Title</w:t>
            </w:r>
          </w:p>
        </w:tc>
        <w:tc>
          <w:tcPr/>
          <w:p>
            <w:pPr>
              <w:pStyle w:val="Compact"/>
            </w:pPr>
            <w:r>
              <w:t xml:space="preserve">Version</w:t>
            </w:r>
          </w:p>
        </w:tc>
        <w:tc>
          <w:tcPr/>
          <w:p>
            <w:pPr>
              <w:pStyle w:val="Compact"/>
            </w:pPr>
            <w:r>
              <w:t xml:space="preserve">Status</w:t>
            </w:r>
          </w:p>
        </w:tc>
        <w:tc>
          <w:tcPr/>
          <w:p>
            <w:pPr>
              <w:pStyle w:val="Compact"/>
            </w:pPr>
            <w:r>
              <w:t xml:space="preserve">Owner</w:t>
            </w:r>
          </w:p>
        </w:tc>
        <w:tc>
          <w:tcPr/>
          <w:p>
            <w:pPr>
              <w:pStyle w:val="Compact"/>
            </w:pPr>
            <w:r>
              <w:t xml:space="preserve">Effective Date</w:t>
            </w:r>
          </w:p>
        </w:tc>
        <w:tc>
          <w:tcPr/>
          <w:p>
            <w:pPr>
              <w:pStyle w:val="Compact"/>
            </w:pPr>
            <w:r>
              <w:t xml:space="preserve">Last Reviewed</w:t>
            </w:r>
          </w:p>
        </w:tc>
        <w:tc>
          <w:tcPr/>
          <w:p>
            <w:pPr>
              <w:pStyle w:val="Compact"/>
            </w:pPr>
            <w:r>
              <w:t xml:space="preserve">Next Review Due</w:t>
            </w:r>
          </w:p>
        </w:tc>
      </w:tr>
      <w:tr>
        <w:tc>
          <w:tcPr/>
          <w:p>
            <w:pPr>
              <w:pStyle w:val="Compact"/>
            </w:pPr>
            <w:r>
              <w:t xml:space="preserve">ADI-POL-001</w:t>
            </w:r>
          </w:p>
        </w:tc>
        <w:tc>
          <w:tcPr/>
          <w:p>
            <w:pPr>
              <w:pStyle w:val="Compact"/>
            </w:pPr>
            <w:r>
              <w:t xml:space="preserve">Data Retention Policy</w:t>
            </w:r>
          </w:p>
        </w:tc>
        <w:tc>
          <w:tcPr/>
          <w:p>
            <w:pPr>
              <w:pStyle w:val="Compact"/>
            </w:pPr>
            <w:r>
              <w:t xml:space="preserve">3.1</w:t>
            </w:r>
          </w:p>
        </w:tc>
        <w:tc>
          <w:tcPr/>
          <w:p>
            <w:pPr>
              <w:pStyle w:val="Compact"/>
            </w:pPr>
            <w:r>
              <w:t xml:space="preserve">Active</w:t>
            </w:r>
          </w:p>
        </w:tc>
        <w:tc>
          <w:tcPr/>
          <w:p>
            <w:pPr>
              <w:pStyle w:val="Compact"/>
            </w:pPr>
            <w:r>
              <w:t xml:space="preserve">Priya Raghunathan</w:t>
            </w:r>
          </w:p>
        </w:tc>
        <w:tc>
          <w:tcPr/>
          <w:p>
            <w:pPr>
              <w:pStyle w:val="Compact"/>
            </w:pPr>
            <w:r>
              <w:t xml:space="preserve">2025-06-01</w:t>
            </w:r>
          </w:p>
        </w:tc>
        <w:tc>
          <w:tcPr/>
          <w:p>
            <w:pPr>
              <w:pStyle w:val="Compact"/>
            </w:pPr>
            <w:r>
              <w:t xml:space="preserve">2026-05-18</w:t>
            </w:r>
          </w:p>
        </w:tc>
        <w:tc>
          <w:tcPr/>
          <w:p>
            <w:pPr>
              <w:pStyle w:val="Compact"/>
            </w:pPr>
            <w:r>
              <w:t xml:space="preserve">2027-05-18</w:t>
            </w:r>
          </w:p>
        </w:tc>
      </w:tr>
      <w:tr>
        <w:tc>
          <w:tcPr/>
          <w:p>
            <w:pPr>
              <w:pStyle w:val="Compact"/>
            </w:pPr>
            <w:r>
              <w:t xml:space="preserve">ADI-POL-002</w:t>
            </w:r>
          </w:p>
        </w:tc>
        <w:tc>
          <w:tcPr/>
          <w:p>
            <w:pPr>
              <w:pStyle w:val="Compact"/>
            </w:pPr>
            <w:r>
              <w:t xml:space="preserve">Remote Work Policy</w:t>
            </w:r>
          </w:p>
        </w:tc>
        <w:tc>
          <w:tcPr/>
          <w:p>
            <w:pPr>
              <w:pStyle w:val="Compact"/>
            </w:pPr>
            <w:r>
              <w:t xml:space="preserve">2.0</w:t>
            </w:r>
          </w:p>
        </w:tc>
        <w:tc>
          <w:tcPr/>
          <w:p>
            <w:pPr>
              <w:pStyle w:val="Compact"/>
            </w:pPr>
            <w:r>
              <w:t xml:space="preserve">Active</w:t>
            </w:r>
          </w:p>
        </w:tc>
        <w:tc>
          <w:tcPr/>
          <w:p>
            <w:pPr>
              <w:pStyle w:val="Compact"/>
            </w:pPr>
            <w:r>
              <w:t xml:space="preserve">Constance Adeyemi</w:t>
            </w:r>
          </w:p>
        </w:tc>
        <w:tc>
          <w:tcPr/>
          <w:p>
            <w:pPr>
              <w:pStyle w:val="Compact"/>
            </w:pPr>
            <w:r>
              <w:t xml:space="preserve">2025-09-30</w:t>
            </w:r>
          </w:p>
        </w:tc>
        <w:tc>
          <w:tcPr/>
          <w:p>
            <w:pPr>
              <w:pStyle w:val="Compact"/>
            </w:pPr>
            <w:r>
              <w:t xml:space="preserve">2025-09-30</w:t>
            </w:r>
          </w:p>
        </w:tc>
        <w:tc>
          <w:tcPr/>
          <w:p>
            <w:pPr>
              <w:pStyle w:val="Compact"/>
            </w:pPr>
            <w:r>
              <w:t xml:space="preserve">2026-09-30</w:t>
            </w:r>
          </w:p>
        </w:tc>
      </w:tr>
      <w:tr>
        <w:tc>
          <w:tcPr/>
          <w:p>
            <w:pPr>
              <w:pStyle w:val="Compact"/>
            </w:pPr>
            <w:r>
              <w:t xml:space="preserve">ADI-POL-003</w:t>
            </w:r>
          </w:p>
        </w:tc>
        <w:tc>
          <w:tcPr/>
          <w:p>
            <w:pPr>
              <w:pStyle w:val="Compact"/>
            </w:pPr>
            <w:r>
              <w:t xml:space="preserve">Acceptable Use Policy</w:t>
            </w:r>
          </w:p>
        </w:tc>
        <w:tc>
          <w:tcPr/>
          <w:p>
            <w:pPr>
              <w:pStyle w:val="Compact"/>
            </w:pPr>
            <w:r>
              <w:t xml:space="preserve">5.0</w:t>
            </w:r>
          </w:p>
        </w:tc>
        <w:tc>
          <w:tcPr/>
          <w:p>
            <w:pPr>
              <w:pStyle w:val="Compact"/>
            </w:pPr>
            <w:r>
              <w:t xml:space="preserve">Active</w:t>
            </w:r>
          </w:p>
        </w:tc>
        <w:tc>
          <w:tcPr/>
          <w:p>
            <w:pPr>
              <w:pStyle w:val="Compact"/>
            </w:pPr>
            <w:r>
              <w:t xml:space="preserve">Tobias Lindqvist</w:t>
            </w:r>
          </w:p>
        </w:tc>
        <w:tc>
          <w:tcPr/>
          <w:p>
            <w:pPr>
              <w:pStyle w:val="Compact"/>
            </w:pPr>
            <w:r>
              <w:t xml:space="preserve">2026-03-01</w:t>
            </w:r>
          </w:p>
        </w:tc>
        <w:tc>
          <w:tcPr/>
          <w:p>
            <w:pPr>
              <w:pStyle w:val="Compact"/>
            </w:pPr>
            <w:r>
              <w:t xml:space="preserve">2025-06-30</w:t>
            </w:r>
          </w:p>
        </w:tc>
        <w:tc>
          <w:tcPr/>
          <w:p>
            <w:pPr>
              <w:pStyle w:val="Compact"/>
            </w:pPr>
            <w:r>
              <w:t xml:space="preserve">2026-06-30</w:t>
            </w:r>
          </w:p>
        </w:tc>
      </w:tr>
      <w:tr>
        <w:tc>
          <w:tcPr/>
          <w:p>
            <w:pPr>
              <w:pStyle w:val="Compact"/>
            </w:pPr>
            <w:r>
              <w:t xml:space="preserve">ADI-POL-004</w:t>
            </w:r>
          </w:p>
        </w:tc>
        <w:tc>
          <w:tcPr/>
          <w:p>
            <w:pPr>
              <w:pStyle w:val="Compact"/>
            </w:pPr>
            <w:r>
              <w:t xml:space="preserve">Social Media Policy</w:t>
            </w:r>
          </w:p>
        </w:tc>
        <w:tc>
          <w:tcPr/>
          <w:p>
            <w:pPr>
              <w:pStyle w:val="Compact"/>
            </w:pPr>
            <w:r>
              <w:t xml:space="preserve">1.2</w:t>
            </w:r>
          </w:p>
        </w:tc>
        <w:tc>
          <w:tcPr/>
          <w:p>
            <w:pPr>
              <w:pStyle w:val="Compact"/>
            </w:pPr>
            <w:r>
              <w:t xml:space="preserve">Active</w:t>
            </w:r>
          </w:p>
        </w:tc>
        <w:tc>
          <w:tcPr/>
          <w:p>
            <w:pPr>
              <w:pStyle w:val="Compact"/>
            </w:pPr>
            <w:r>
              <w:t xml:space="preserve">Ines Kowalczyk</w:t>
            </w:r>
          </w:p>
        </w:tc>
        <w:tc>
          <w:tcPr/>
          <w:p>
            <w:pPr>
              <w:pStyle w:val="Compact"/>
            </w:pPr>
            <w:r>
              <w:t xml:space="preserve">2022-11-04</w:t>
            </w:r>
          </w:p>
        </w:tc>
        <w:tc>
          <w:tcPr/>
          <w:p>
            <w:pPr>
              <w:pStyle w:val="Compact"/>
            </w:pPr>
            <w:r>
              <w:t xml:space="preserve">2022-11-04</w:t>
            </w:r>
          </w:p>
        </w:tc>
        <w:tc>
          <w:tcPr/>
          <w:p>
            <w:pPr>
              <w:pStyle w:val="Compact"/>
            </w:pPr>
            <w:r>
              <w:t xml:space="preserve">2023-11-04</w:t>
            </w:r>
          </w:p>
        </w:tc>
      </w:tr>
      <w:tr>
        <w:tc>
          <w:tcPr/>
          <w:p>
            <w:pPr>
              <w:pStyle w:val="Compact"/>
            </w:pPr>
            <w:r>
              <w:t xml:space="preserve">ADI-POL-005</w:t>
            </w:r>
          </w:p>
        </w:tc>
        <w:tc>
          <w:tcPr/>
          <w:p>
            <w:pPr>
              <w:pStyle w:val="Compact"/>
            </w:pPr>
            <w:r>
              <w:t xml:space="preserve">Travel and Expense Policy</w:t>
            </w:r>
          </w:p>
        </w:tc>
        <w:tc>
          <w:tcPr/>
          <w:p>
            <w:pPr>
              <w:pStyle w:val="Compact"/>
            </w:pPr>
            <w:r>
              <w:t xml:space="preserve">4.3</w:t>
            </w:r>
          </w:p>
        </w:tc>
        <w:tc>
          <w:tcPr/>
          <w:p>
            <w:pPr>
              <w:pStyle w:val="Compact"/>
            </w:pPr>
            <w:r>
              <w:t xml:space="preserve">Active</w:t>
            </w:r>
          </w:p>
        </w:tc>
        <w:tc>
          <w:tcPr/>
          <w:p>
            <w:pPr>
              <w:pStyle w:val="Compact"/>
            </w:pPr>
            <w:r>
              <w:t xml:space="preserve">Workplace Services (vacant)</w:t>
            </w:r>
          </w:p>
        </w:tc>
        <w:tc>
          <w:tcPr/>
          <w:p>
            <w:pPr>
              <w:pStyle w:val="Compact"/>
            </w:pPr>
            <w:r>
              <w:t xml:space="preserve">2025-10-15</w:t>
            </w:r>
          </w:p>
        </w:tc>
        <w:tc>
          <w:tcPr/>
          <w:p>
            <w:pPr>
              <w:pStyle w:val="Compact"/>
            </w:pPr>
            <w:r>
              <w:t xml:space="preserve">2025-10-15</w:t>
            </w:r>
          </w:p>
        </w:tc>
        <w:tc>
          <w:tcPr/>
          <w:p>
            <w:pPr>
              <w:pStyle w:val="Compact"/>
            </w:pPr>
            <w:r>
              <w:t xml:space="preserve">2026-10-15</w:t>
            </w:r>
          </w:p>
        </w:tc>
      </w:tr>
      <w:tr>
        <w:tc>
          <w:tcPr/>
          <w:p>
            <w:pPr>
              <w:pStyle w:val="Compact"/>
            </w:pPr>
            <w:r>
              <w:t xml:space="preserve">ADI-POL-006</w:t>
            </w:r>
          </w:p>
        </w:tc>
        <w:tc>
          <w:tcPr/>
          <w:p>
            <w:pPr>
              <w:pStyle w:val="Compact"/>
            </w:pPr>
            <w:r>
              <w:t xml:space="preserve">Bring Your Own Device (BYOD) Policy</w:t>
            </w:r>
          </w:p>
        </w:tc>
        <w:tc>
          <w:tcPr/>
          <w:p>
            <w:pPr>
              <w:pStyle w:val="Compact"/>
            </w:pPr>
            <w:r>
              <w:t xml:space="preserve">1.4</w:t>
            </w:r>
          </w:p>
        </w:tc>
        <w:tc>
          <w:tcPr/>
          <w:p>
            <w:pPr>
              <w:pStyle w:val="Compact"/>
            </w:pPr>
            <w:r>
              <w:t xml:space="preserve">Superseded</w:t>
            </w:r>
          </w:p>
        </w:tc>
        <w:tc>
          <w:tcPr/>
          <w:p>
            <w:pPr>
              <w:pStyle w:val="Compact"/>
            </w:pPr>
            <w:r>
              <w:t xml:space="preserve">Tobias Lindqvist</w:t>
            </w:r>
          </w:p>
        </w:tc>
        <w:tc>
          <w:tcPr/>
          <w:p>
            <w:pPr>
              <w:pStyle w:val="Compact"/>
            </w:pPr>
            <w:r>
              <w:t xml:space="preserve">2023-04-01</w:t>
            </w:r>
          </w:p>
        </w:tc>
        <w:tc>
          <w:tcPr/>
          <w:p>
            <w:pPr>
              <w:pStyle w:val="Compact"/>
            </w:pPr>
            <w:r>
              <w:t xml:space="preserve">2024-04-01</w:t>
            </w:r>
          </w:p>
        </w:tc>
        <w:tc>
          <w:tcPr/>
          <w:p>
            <w:pPr>
              <w:pStyle w:val="Compact"/>
            </w:pPr>
            <w:r>
              <w:t xml:space="preserve">2025-04-01</w:t>
            </w:r>
          </w:p>
        </w:tc>
      </w:tr>
      <w:tr>
        <w:tc>
          <w:tcPr/>
          <w:p>
            <w:pPr>
              <w:pStyle w:val="Compact"/>
            </w:pPr>
            <w:r>
              <w:t xml:space="preserve">ADI-FIN-001</w:t>
            </w:r>
          </w:p>
        </w:tc>
        <w:tc>
          <w:tcPr/>
          <w:p>
            <w:pPr>
              <w:pStyle w:val="Compact"/>
            </w:pPr>
            <w:r>
              <w:t xml:space="preserve">Accounting Policy Memorandum: Capitalization of Internal-Use Software (ASC 350-40)</w:t>
            </w:r>
          </w:p>
        </w:tc>
        <w:tc>
          <w:tcPr/>
          <w:p>
            <w:pPr>
              <w:pStyle w:val="Compact"/>
            </w:pPr>
            <w:r>
              <w:t xml:space="preserve">1.0</w:t>
            </w:r>
          </w:p>
        </w:tc>
        <w:tc>
          <w:tcPr/>
          <w:p>
            <w:pPr>
              <w:pStyle w:val="Compact"/>
            </w:pPr>
            <w:r>
              <w:t xml:space="preserve">Superseded</w:t>
            </w:r>
          </w:p>
        </w:tc>
        <w:tc>
          <w:tcPr/>
          <w:p>
            <w:pPr>
              <w:pStyle w:val="Compact"/>
            </w:pPr>
            <w:r>
              <w:t xml:space="preserve">Elias Vantongeren</w:t>
            </w:r>
          </w:p>
        </w:tc>
        <w:tc>
          <w:tcPr/>
          <w:p>
            <w:pPr>
              <w:pStyle w:val="Compact"/>
            </w:pPr>
            <w:r>
              <w:t xml:space="preserve">2024-02-15</w:t>
            </w:r>
          </w:p>
        </w:tc>
        <w:tc>
          <w:tcPr/>
          <w:p>
            <w:pPr>
              <w:pStyle w:val="Compact"/>
            </w:pPr>
            <w:r>
              <w:t xml:space="preserve">2024-02-15</w:t>
            </w:r>
          </w:p>
        </w:tc>
        <w:tc>
          <w:tcPr/>
          <w:p>
            <w:pPr>
              <w:pStyle w:val="Compact"/>
            </w:pPr>
            <w:r>
              <w:t xml:space="preserve">2026-02-15</w:t>
            </w:r>
          </w:p>
        </w:tc>
      </w:tr>
      <w:tr>
        <w:tc>
          <w:tcPr/>
          <w:p>
            <w:pPr>
              <w:pStyle w:val="Compact"/>
            </w:pPr>
            <w:r>
              <w:t xml:space="preserve">ADI-FIN-002</w:t>
            </w:r>
          </w:p>
        </w:tc>
        <w:tc>
          <w:tcPr/>
          <w:p>
            <w:pPr>
              <w:pStyle w:val="Compact"/>
            </w:pPr>
            <w:r>
              <w:t xml:space="preserve">Accounting Policy Memorandum: Capitalization of Internal-Use Software (ASC 350-40), Revised</w:t>
            </w:r>
          </w:p>
        </w:tc>
        <w:tc>
          <w:tcPr/>
          <w:p>
            <w:pPr>
              <w:pStyle w:val="Compact"/>
            </w:pPr>
            <w:r>
              <w:t xml:space="preserve">2.0</w:t>
            </w:r>
          </w:p>
        </w:tc>
        <w:tc>
          <w:tcPr/>
          <w:p>
            <w:pPr>
              <w:pStyle w:val="Compact"/>
            </w:pPr>
            <w:r>
              <w:t xml:space="preserve">Active</w:t>
            </w:r>
          </w:p>
        </w:tc>
        <w:tc>
          <w:tcPr/>
          <w:p>
            <w:pPr>
              <w:pStyle w:val="Compact"/>
            </w:pPr>
            <w:r>
              <w:t xml:space="preserve">Elias Vantongeren</w:t>
            </w:r>
          </w:p>
        </w:tc>
        <w:tc>
          <w:tcPr/>
          <w:p>
            <w:pPr>
              <w:pStyle w:val="Compact"/>
            </w:pPr>
            <w:r>
              <w:t xml:space="preserve">2026-01-20</w:t>
            </w:r>
          </w:p>
        </w:tc>
        <w:tc>
          <w:tcPr/>
          <w:p>
            <w:pPr>
              <w:pStyle w:val="Compact"/>
            </w:pPr>
            <w:r>
              <w:t xml:space="preserve">2026-01-20</w:t>
            </w:r>
          </w:p>
        </w:tc>
        <w:tc>
          <w:tcPr/>
          <w:p>
            <w:pPr>
              <w:pStyle w:val="Compact"/>
            </w:pPr>
            <w:r>
              <w:t xml:space="preserve">2028-01-20</w:t>
            </w:r>
          </w:p>
        </w:tc>
      </w:tr>
      <w:tr>
        <w:tc>
          <w:tcPr/>
          <w:p>
            <w:pPr>
              <w:pStyle w:val="Compact"/>
            </w:pPr>
            <w:r>
              <w:t xml:space="preserve">ADI-HR-001</w:t>
            </w:r>
          </w:p>
        </w:tc>
        <w:tc>
          <w:tcPr/>
          <w:p>
            <w:pPr>
              <w:pStyle w:val="Compact"/>
            </w:pPr>
            <w:r>
              <w:t xml:space="preserve">Employee Handbook</w:t>
            </w:r>
          </w:p>
        </w:tc>
        <w:tc>
          <w:tcPr/>
          <w:p>
            <w:pPr>
              <w:pStyle w:val="Compact"/>
            </w:pPr>
            <w:r>
              <w:t xml:space="preserve">4.2</w:t>
            </w:r>
          </w:p>
        </w:tc>
        <w:tc>
          <w:tcPr/>
          <w:p>
            <w:pPr>
              <w:pStyle w:val="Compact"/>
            </w:pPr>
            <w:r>
              <w:t xml:space="preserve">Active</w:t>
            </w:r>
          </w:p>
        </w:tc>
        <w:tc>
          <w:tcPr/>
          <w:p>
            <w:pPr>
              <w:pStyle w:val="Compact"/>
            </w:pPr>
            <w:r>
              <w:t xml:space="preserve">Constance Adeyemi</w:t>
            </w:r>
          </w:p>
        </w:tc>
        <w:tc>
          <w:tcPr/>
          <w:p>
            <w:pPr>
              <w:pStyle w:val="Compact"/>
            </w:pPr>
            <w:r>
              <w:t xml:space="preserve">2026-07-01</w:t>
            </w:r>
          </w:p>
        </w:tc>
        <w:tc>
          <w:tcPr/>
          <w:p>
            <w:pPr>
              <w:pStyle w:val="Compact"/>
            </w:pPr>
            <w:r>
              <w:t xml:space="preserve">2026-07-01</w:t>
            </w:r>
          </w:p>
        </w:tc>
        <w:tc>
          <w:tcPr/>
          <w:p>
            <w:pPr>
              <w:pStyle w:val="Compact"/>
            </w:pPr>
            <w:r>
              <w:t xml:space="preserve">2027-07-01</w:t>
            </w:r>
          </w:p>
        </w:tc>
      </w:tr>
    </w:tbl>
    <w:bookmarkEnd w:id="16"/>
    <w:bookmarkStart w:id="17" w:name="document-control-conventions"/>
    <w:p>
      <w:pPr>
        <w:pStyle w:val="Heading2"/>
      </w:pPr>
      <w:r>
        <w:t xml:space="preserve">8. Document Control Conventions</w:t>
      </w:r>
    </w:p>
    <w:p>
      <w:pPr>
        <w:pStyle w:val="FirstParagraph"/>
      </w:pPr>
      <w:r>
        <w:rPr>
          <w:b/>
          <w:bCs/>
        </w:rPr>
        <w:t xml:space="preserve">Identifiers.</w:t>
      </w:r>
      <w:r>
        <w:t xml:space="preserve"> </w:t>
      </w:r>
      <w:r>
        <w:t xml:space="preserve">Every document carries a permanent identifier in the form</w:t>
      </w:r>
      <w:r>
        <w:t xml:space="preserve"> </w:t>
      </w:r>
      <w:r>
        <w:rPr>
          <w:rStyle w:val="VerbatimChar"/>
        </w:rPr>
        <w:t xml:space="preserve">ADI-&lt;AREA&gt;-&lt;NNN&gt;</w:t>
      </w:r>
      <w:r>
        <w:t xml:space="preserve">.</w:t>
      </w:r>
      <w:r>
        <w:t xml:space="preserve"> </w:t>
      </w:r>
      <w:r>
        <w:rPr>
          <w:rStyle w:val="VerbatimChar"/>
        </w:rPr>
        <w:t xml:space="preserve">ADI</w:t>
      </w:r>
      <w:r>
        <w:t xml:space="preserve"> </w:t>
      </w:r>
      <w:r>
        <w:t xml:space="preserve">denotes Atticus Dundee Inc. </w:t>
      </w:r>
      <w:r>
        <w:rPr>
          <w:rStyle w:val="VerbatimChar"/>
        </w:rPr>
        <w:t xml:space="preserve">&lt;AREA&gt;</w:t>
      </w:r>
      <w:r>
        <w:t xml:space="preserve"> </w:t>
      </w:r>
      <w:r>
        <w:t xml:space="preserve">is one of three areas:</w:t>
      </w:r>
      <w:r>
        <w:t xml:space="preserve"> </w:t>
      </w:r>
      <w:r>
        <w:rPr>
          <w:rStyle w:val="VerbatimChar"/>
        </w:rPr>
        <w:t xml:space="preserve">POL</w:t>
      </w:r>
      <w:r>
        <w:t xml:space="preserve"> </w:t>
      </w:r>
      <w:r>
        <w:t xml:space="preserve">for corporate policies and standards,</w:t>
      </w:r>
      <w:r>
        <w:t xml:space="preserve"> </w:t>
      </w:r>
      <w:r>
        <w:rPr>
          <w:rStyle w:val="VerbatimChar"/>
        </w:rPr>
        <w:t xml:space="preserve">FIN</w:t>
      </w:r>
      <w:r>
        <w:t xml:space="preserve"> </w:t>
      </w:r>
      <w:r>
        <w:t xml:space="preserve">for accounting policy memoranda, and</w:t>
      </w:r>
      <w:r>
        <w:t xml:space="preserve"> </w:t>
      </w:r>
      <w:r>
        <w:rPr>
          <w:rStyle w:val="VerbatimChar"/>
        </w:rPr>
        <w:t xml:space="preserve">HR</w:t>
      </w:r>
      <w:r>
        <w:t xml:space="preserve"> </w:t>
      </w:r>
      <w:r>
        <w:t xml:space="preserve">for the employee handbook and its supplements.</w:t>
      </w:r>
      <w:r>
        <w:t xml:space="preserve"> </w:t>
      </w:r>
      <w:r>
        <w:rPr>
          <w:rStyle w:val="VerbatimChar"/>
        </w:rPr>
        <w:t xml:space="preserve">&lt;NNN&gt;</w:t>
      </w:r>
      <w:r>
        <w:t xml:space="preserve"> </w:t>
      </w:r>
      <w:r>
        <w:t xml:space="preserve">is a three-digit sequence assigned by the Policy Office in the order documents enter the library, and is never reused, reassigned, or renumbered. A document keeps its identifier for its whole life, including after it is superseded or retired.</w:t>
      </w:r>
    </w:p>
    <w:p>
      <w:pPr>
        <w:pStyle w:val="BodyText"/>
      </w:pPr>
      <w:r>
        <w:rPr>
          <w:b/>
          <w:bCs/>
        </w:rPr>
        <w:t xml:space="preserve">Versions.</w:t>
      </w:r>
      <w:r>
        <w:t xml:space="preserve"> </w:t>
      </w:r>
      <w:r>
        <w:t xml:space="preserve">Versions are numbered</w:t>
      </w:r>
      <w:r>
        <w:t xml:space="preserve"> </w:t>
      </w:r>
      <w:r>
        <w:rPr>
          <w:rStyle w:val="VerbatimChar"/>
        </w:rPr>
        <w:t xml:space="preserve">MAJOR.MINOR</w:t>
      </w:r>
      <w:r>
        <w:t xml:space="preserve">. The major number increments when the document is restated, restructured, or changed in a way that alters what a reader must do. The minor number increments for clarifications, corrections, and additions that do not change the substance of a requirement. Version 1.0 is the first issued version; drafts are not versioned in the library.</w:t>
      </w:r>
    </w:p>
    <w:p>
      <w:pPr>
        <w:pStyle w:val="BodyText"/>
      </w:pPr>
      <w:r>
        <w:rPr>
          <w:b/>
          <w:bCs/>
        </w:rPr>
        <w:t xml:space="preserve">Status.</w:t>
      </w:r>
      <w:r>
        <w:t xml:space="preserve"> </w:t>
      </w:r>
      <w:r>
        <w:t xml:space="preserve">A document carries exactly one of three statuses.</w:t>
      </w:r>
      <w:r>
        <w:t xml:space="preserve"> </w:t>
      </w:r>
      <w:r>
        <w:rPr>
          <w:rStyle w:val="VerbatimChar"/>
        </w:rPr>
        <w:t xml:space="preserve">Active</w:t>
      </w:r>
      <w:r>
        <w:t xml:space="preserve"> </w:t>
      </w:r>
      <w:r>
        <w:t xml:space="preserve">means the document is in force.</w:t>
      </w:r>
      <w:r>
        <w:t xml:space="preserve"> </w:t>
      </w:r>
      <w:r>
        <w:rPr>
          <w:rStyle w:val="VerbatimChar"/>
        </w:rPr>
        <w:t xml:space="preserve">Superseded</w:t>
      </w:r>
      <w:r>
        <w:t xml:space="preserve"> </w:t>
      </w:r>
      <w:r>
        <w:t xml:space="preserve">means its subject matter has been taken up by another document, identified in the Superseded By field.</w:t>
      </w:r>
      <w:r>
        <w:t xml:space="preserve"> </w:t>
      </w:r>
      <w:r>
        <w:rPr>
          <w:rStyle w:val="VerbatimChar"/>
        </w:rPr>
        <w:t xml:space="preserve">Retired</w:t>
      </w:r>
      <w:r>
        <w:t xml:space="preserve"> </w:t>
      </w:r>
      <w:r>
        <w:t xml:space="preserve">means the document has been withdrawn and its subject matter is no longer covered by the library.</w:t>
      </w:r>
    </w:p>
    <w:p>
      <w:pPr>
        <w:pStyle w:val="BodyText"/>
      </w:pPr>
      <w:r>
        <w:rPr>
          <w:b/>
          <w:bCs/>
        </w:rPr>
        <w:t xml:space="preserve">Control block fields.</w:t>
      </w:r>
      <w:r>
        <w:t xml:space="preserve"> </w:t>
      </w:r>
      <w:r>
        <w:t xml:space="preserve">Every document opens with a control block giving the document identifier, version, status, owner, approver, effective date, date last reviewed, next review date, the document it supersedes, and the document that supersedes it. Fields that do not apply read</w:t>
      </w:r>
      <w:r>
        <w:t xml:space="preserve"> </w:t>
      </w:r>
      <w:r>
        <w:t xml:space="preserve">“None”</w:t>
      </w:r>
      <w:r>
        <w:t xml:space="preserve">.</w:t>
      </w:r>
    </w:p>
    <w:p>
      <w:pPr>
        <w:pStyle w:val="BodyText"/>
      </w:pPr>
      <w:r>
        <w:rPr>
          <w:b/>
          <w:bCs/>
        </w:rPr>
        <w:t xml:space="preserve">Version history.</w:t>
      </w:r>
      <w:r>
        <w:t xml:space="preserve"> </w:t>
      </w:r>
      <w:r>
        <w:t xml:space="preserve">Every document ends with a version history table listing each issued version, its date, a summary of what changed, and who approved it. Entries are never removed, so the history of a requirement can be reconstructed from the document itself.</w:t>
      </w:r>
    </w:p>
    <w:bookmarkEnd w:id="17"/>
    <w:bookmarkStart w:id="18"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2021-02-01</w:t>
            </w:r>
          </w:p>
        </w:tc>
        <w:tc>
          <w:tcPr/>
          <w:p>
            <w:pPr>
              <w:pStyle w:val="Compact"/>
            </w:pPr>
            <w:r>
              <w:t xml:space="preserve">Policy library established; initial register published.</w:t>
            </w:r>
          </w:p>
        </w:tc>
        <w:tc>
          <w:tcPr/>
          <w:p>
            <w:pPr>
              <w:pStyle w:val="Compact"/>
            </w:pPr>
            <w:r>
              <w:t xml:space="preserve">Executive Leadership Team</w:t>
            </w:r>
          </w:p>
        </w:tc>
      </w:tr>
      <w:tr>
        <w:tc>
          <w:tcPr/>
          <w:p>
            <w:pPr>
              <w:pStyle w:val="Compact"/>
            </w:pPr>
            <w:r>
              <w:t xml:space="preserve">2.0</w:t>
            </w:r>
          </w:p>
        </w:tc>
        <w:tc>
          <w:tcPr/>
          <w:p>
            <w:pPr>
              <w:pStyle w:val="Compact"/>
            </w:pPr>
            <w:r>
              <w:t xml:space="preserve">2024-01-08</w:t>
            </w:r>
          </w:p>
        </w:tc>
        <w:tc>
          <w:tcPr/>
          <w:p>
            <w:pPr>
              <w:pStyle w:val="Compact"/>
            </w:pPr>
            <w:r>
              <w:t xml:space="preserve">Restated for the</w:t>
            </w:r>
            <w:r>
              <w:t xml:space="preserve"> </w:t>
            </w:r>
            <w:r>
              <w:rPr>
                <w:rStyle w:val="VerbatimChar"/>
              </w:rPr>
              <w:t xml:space="preserve">ADI-&lt;AREA&gt;-&lt;NNN&gt;</w:t>
            </w:r>
            <w:r>
              <w:t xml:space="preserve"> </w:t>
            </w:r>
            <w:r>
              <w:t xml:space="preserve">identifier scheme; introduced the standard 12-month review cycle, the exception register, and semi-annual reporting to the Audit and Risk Committee.</w:t>
            </w:r>
          </w:p>
        </w:tc>
        <w:tc>
          <w:tcPr/>
          <w:p>
            <w:pPr>
              <w:pStyle w:val="Compact"/>
            </w:pPr>
            <w:r>
              <w:t xml:space="preserve">Executive Leadership Team</w:t>
            </w:r>
          </w:p>
        </w:tc>
      </w:tr>
      <w:tr>
        <w:tc>
          <w:tcPr/>
          <w:p>
            <w:pPr>
              <w:pStyle w:val="Compact"/>
            </w:pPr>
            <w:r>
              <w:t xml:space="preserve">2.1</w:t>
            </w:r>
          </w:p>
        </w:tc>
        <w:tc>
          <w:tcPr/>
          <w:p>
            <w:pPr>
              <w:pStyle w:val="Compact"/>
            </w:pPr>
            <w:r>
              <w:t xml:space="preserve">2026-07-06</w:t>
            </w:r>
          </w:p>
        </w:tc>
        <w:tc>
          <w:tcPr/>
          <w:p>
            <w:pPr>
              <w:pStyle w:val="Compact"/>
            </w:pPr>
            <w:r>
              <w:t xml:space="preserve">Added the 24-month cycle for accounting policy memoranda; clarified owner succession and status definitions; register refreshed.</w:t>
            </w:r>
          </w:p>
        </w:tc>
        <w:tc>
          <w:tcPr/>
          <w:p>
            <w:pPr>
              <w:pStyle w:val="Compact"/>
            </w:pPr>
            <w:r>
              <w:t xml:space="preserve">Executive Leadership Team</w:t>
            </w:r>
          </w:p>
        </w:tc>
      </w:tr>
    </w:tbl>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2026-08-09T03:07:34Z</dcterms:created>
  <dcterms:modified xsi:type="dcterms:W3CDTF">2026-08-09T03:07:34Z</dcterms:modified>
</cp:coreProperties>
</file>

<file path=docProps/custom.xml><?xml version="1.0" encoding="utf-8"?>
<Properties xmlns="http://schemas.openxmlformats.org/officeDocument/2006/custom-properties" xmlns:vt="http://schemas.openxmlformats.org/officeDocument/2006/docPropsVTypes"/>
</file>