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Torchbird Labs, Inc.</w:t>
      </w:r>
      <w:r>
        <w:t xml:space="preserve">, a Delaware corporation with its principal place of business at 1170 Aspen Court, Unit 12, Boulder, Colorado 80302.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technology licensing and joint development arrangement involving their respective platforms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Receiving Party will use the Disclosing Party’s Confidential Information solely for the Purpose and for no other purpose. Without limiting the foregoing, the Receiving Party will not use the Disclosing Party’s Confidential Information to compete with the Disclosing Party,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Receiving Party will protect the Disclosing Party’s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compelled-disclosure"/>
    <w:p>
      <w:pPr>
        <w:pStyle w:val="Heading2"/>
      </w:pPr>
      <w:r>
        <w:t xml:space="preserve">4. Compelled Disclosure</w:t>
      </w:r>
    </w:p>
    <w:p>
      <w:pPr>
        <w:pStyle w:val="FirstParagraph"/>
      </w:pPr>
      <w:r>
        <w:t xml:space="preserve">If the Receiving Party or any of its Representatives is required by applicable law, regulation, subpoena, civil investigative demand, or order of a court or governmental or regulatory authority to disclose any of the Disclosing Party’s Confidential Information, the Receiving Party may disclose it to the extent so required, provided that, unless prohibited by law, the Receiving Party (a) gives the Disclosing Party prompt written notice so that the Disclosing Party may seek a protective order or other appropriate remedy, (b) cooperates reasonably with the Disclosing Party’s efforts to obtain that remedy at the Disclosing Party’s expense, and (c) discloses only that portion of the Confidential Information that it is legally required to disclose. Confidential Information disclosed under this Section 4 remains Confidential Information for all other purposes.</w:t>
      </w:r>
    </w:p>
    <w:bookmarkEnd w:id="13"/>
    <w:bookmarkStart w:id="14"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4"/>
    <w:bookmarkStart w:id="15"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5"/>
    <w:bookmarkStart w:id="16" w:name="return-or-destruction"/>
    <w:p>
      <w:pPr>
        <w:pStyle w:val="Heading2"/>
      </w:pPr>
      <w:r>
        <w:t xml:space="preserve">7. Return or Destruction</w:t>
      </w:r>
    </w:p>
    <w:p>
      <w:pPr>
        <w:pStyle w:val="FirstParagraph"/>
      </w:pPr>
      <w:r>
        <w:t xml:space="preserve">On the Disclosing Party’s written request at any time, or in any event within thirty (30) days after the expiration or termination of this Agreement, the Receiving Party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6"/>
    <w:bookmarkStart w:id="17"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bookmarkEnd w:id="17"/>
    <w:bookmarkStart w:id="18"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8"/>
    <w:bookmarkStart w:id="19"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other Party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p>
      <w:pPr>
        <w:pStyle w:val="BodyText"/>
      </w:pPr>
      <w:r>
        <w:rPr>
          <w:b/>
          <w:bCs/>
        </w:rPr>
        <w:t xml:space="preserve">10.4 Liquidated Damages.</w:t>
      </w:r>
      <w:r>
        <w:t xml:space="preserve"> </w:t>
      </w:r>
      <w:r>
        <w:t xml:space="preserve">The Parties agree that the actual damages resulting from a breach of Section 3 would be difficult to ascertain with precision. Accordingly, in addition to any equitable relief obtained under Section 10.1, the breaching Party will pay to the non-breaching Party liquidated damages of fifty thousand dollars ($50,000) for each breach of Section 3. Each separate item of Confidential Information that is used or disclosed in breach of Section 3, and each separate person to whom an item of Confidential Information is disclosed in breach of Section 3, constitutes a separate breach for the purposes of this Section 10.4. The Parties agree that this amount is a reasonable estimate of the loss that would be suffered and is not a penalty. Payment of liquidated damages under this Section 10.4 does not limit the non-breaching Party’s right to recover any other damages available at law or in equity.</w:t>
      </w:r>
    </w:p>
    <w:bookmarkEnd w:id="19"/>
    <w:bookmarkStart w:id="20"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20"/>
    <w:bookmarkStart w:id="21"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Torchbird Labs, Inc.:</w:t>
      </w:r>
      <w:r>
        <w:t xml:space="preserve"> </w:t>
      </w:r>
      <w:r>
        <w:t xml:space="preserve">1170 Aspen Court, Unit 12, Boulder, Colorado 80302</w:t>
      </w:r>
      <w:r>
        <w:t xml:space="preserve"> </w:t>
      </w:r>
      <w:r>
        <w:t xml:space="preserve">Attention: Chief Executive Officer</w:t>
      </w:r>
      <w:r>
        <w:t xml:space="preserve"> </w:t>
      </w:r>
      <w:r>
        <w:t xml:space="preserve">Email: legal@torchbirdlabs.example</w:t>
      </w:r>
    </w:p>
    <w:p>
      <w:pPr>
        <w:pStyle w:val="BodyText"/>
      </w:pPr>
      <w:r>
        <w:t xml:space="preserve">Either Party may change its notice address by written notice given in accordance with this Section 12.</w:t>
      </w:r>
    </w:p>
    <w:bookmarkEnd w:id="21"/>
    <w:bookmarkStart w:id="22" w:name="governing-law-and-venue"/>
    <w:p>
      <w:pPr>
        <w:pStyle w:val="Heading2"/>
      </w:pPr>
      <w:r>
        <w:t xml:space="preserve">13. Governing Law and Venue</w:t>
      </w:r>
    </w:p>
    <w:p>
      <w:pPr>
        <w:pStyle w:val="FirstParagraph"/>
      </w:pPr>
      <w:r>
        <w:t xml:space="preserve">This Agreement is governed by and construed in accordance with the laws of the State of Delaware, without regard to its conflict-of-laws principles. Each Party irrevocably submits to the exclusive jurisdiction of the state and federal courts located in New Castle County, Delaware for any action arising out of or relating to this Agreement, and waives any objection to venue in those courts, except that either Party may seek injunctive relief under Section 10.1 in any court of competent jurisdiction.</w:t>
      </w:r>
    </w:p>
    <w:bookmarkEnd w:id="22"/>
    <w:bookmarkStart w:id="23"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3"/>
    <w:bookmarkStart w:id="24"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TORCHBIRD LABS, INC.</w:t>
      </w:r>
    </w:p>
    <w:p>
      <w:pPr>
        <w:pStyle w:val="BodyText"/>
      </w:pPr>
      <w:r>
        <w:t xml:space="preserve">By: _______________________________</w:t>
      </w:r>
    </w:p>
    <w:p>
      <w:pPr>
        <w:pStyle w:val="BodyText"/>
      </w:pPr>
      <w:r>
        <w:t xml:space="preserve">Name: Nikhil Ravensworth</w:t>
      </w:r>
    </w:p>
    <w:p>
      <w:pPr>
        <w:pStyle w:val="BodyText"/>
      </w:pPr>
      <w:r>
        <w:t xml:space="preserve">Title: Chief Executive Officer and Co-Founder</w:t>
      </w:r>
    </w:p>
    <w:p>
      <w:pPr>
        <w:pStyle w:val="BodyText"/>
      </w:pPr>
      <w:r>
        <w:t xml:space="preserve">Date: _______________________________</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