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3117d568a6ab3aefb8ce7b55b1fc633e8dc6ab"/>
    <w:p>
      <w:pPr>
        <w:pStyle w:val="Heading1"/>
      </w:pPr>
      <w:r>
        <w:t xml:space="preserve">Standard Mutual Confidentiality Agreement (Form NDA-M-2026.1)</w:t>
      </w:r>
    </w:p>
    <w:p>
      <w:pPr>
        <w:pStyle w:val="FirstParagraph"/>
      </w:pPr>
      <w:r>
        <w:rPr>
          <w:b/>
          <w:bCs/>
        </w:rPr>
        <w:t xml:space="preserve">ATTICUS DUNDEE INC. — Office of the General Counsel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Form number</w:t>
            </w:r>
          </w:p>
        </w:tc>
        <w:tc>
          <w:tcPr/>
          <w:p>
            <w:pPr>
              <w:pStyle w:val="Compact"/>
            </w:pPr>
            <w:r>
              <w:t xml:space="preserve">NDA-M-2026.1</w:t>
            </w:r>
          </w:p>
        </w:tc>
      </w:tr>
      <w:tr>
        <w:tc>
          <w:tcPr/>
          <w:p>
            <w:pPr>
              <w:pStyle w:val="Compact"/>
            </w:pPr>
            <w:r>
              <w:t xml:space="preserve">Document ID</w:t>
            </w:r>
          </w:p>
        </w:tc>
        <w:tc>
          <w:tcPr/>
          <w:p>
            <w:pPr>
              <w:pStyle w:val="Compact"/>
            </w:pPr>
            <w:r>
              <w:t xml:space="preserve">LEG-TPL-007</w:t>
            </w:r>
          </w:p>
        </w:tc>
      </w:tr>
      <w:tr>
        <w:tc>
          <w:tcPr/>
          <w:p>
            <w:pPr>
              <w:pStyle w:val="Compact"/>
            </w:pPr>
            <w:r>
              <w:t xml:space="preserve">Version</w:t>
            </w:r>
          </w:p>
        </w:tc>
        <w:tc>
          <w:tcPr/>
          <w:p>
            <w:pPr>
              <w:pStyle w:val="Compact"/>
            </w:pPr>
            <w:r>
              <w:t xml:space="preserve">2026.1</w:t>
            </w:r>
          </w:p>
        </w:tc>
      </w:tr>
      <w:tr>
        <w:tc>
          <w:tcPr/>
          <w:p>
            <w:pPr>
              <w:pStyle w:val="Compact"/>
            </w:pPr>
            <w:r>
              <w:t xml:space="preserve">Owner</w:t>
            </w:r>
          </w:p>
        </w:tc>
        <w:tc>
          <w:tcPr/>
          <w:p>
            <w:pPr>
              <w:pStyle w:val="Compact"/>
            </w:pPr>
            <w:r>
              <w:t xml:space="preserve">Lucia M. Ferrante, Senior Counsel, Commercial</w:t>
            </w:r>
          </w:p>
        </w:tc>
      </w:tr>
      <w:tr>
        <w:tc>
          <w:tcPr/>
          <w:p>
            <w:pPr>
              <w:pStyle w:val="Compact"/>
            </w:pPr>
            <w:r>
              <w:t xml:space="preserve">Approved</w:t>
            </w:r>
          </w:p>
        </w:tc>
        <w:tc>
          <w:tcPr/>
          <w:p>
            <w:pPr>
              <w:pStyle w:val="Compact"/>
            </w:pPr>
            <w:r>
              <w:t xml:space="preserve">March 18, 2026</w:t>
            </w:r>
          </w:p>
        </w:tc>
      </w:tr>
      <w:tr>
        <w:tc>
          <w:tcPr/>
          <w:p>
            <w:pPr>
              <w:pStyle w:val="Compact"/>
            </w:pPr>
            <w:r>
              <w:t xml:space="preserve">Effective</w:t>
            </w:r>
          </w:p>
        </w:tc>
        <w:tc>
          <w:tcPr/>
          <w:p>
            <w:pPr>
              <w:pStyle w:val="Compact"/>
            </w:pPr>
            <w:r>
              <w:t xml:space="preserve">April 1, 2026</w:t>
            </w:r>
          </w:p>
        </w:tc>
      </w:tr>
      <w:tr>
        <w:tc>
          <w:tcPr/>
          <w:p>
            <w:pPr>
              <w:pStyle w:val="Compact"/>
            </w:pPr>
            <w:r>
              <w:t xml:space="preserve">Supersedes</w:t>
            </w:r>
          </w:p>
        </w:tc>
        <w:tc>
          <w:tcPr/>
          <w:p>
            <w:pPr>
              <w:pStyle w:val="Compact"/>
            </w:pPr>
            <w:r>
              <w:t xml:space="preserve">NDA-M-2025.2</w:t>
            </w:r>
          </w:p>
        </w:tc>
      </w:tr>
      <w:tr>
        <w:tc>
          <w:tcPr/>
          <w:p>
            <w:pPr>
              <w:pStyle w:val="Compact"/>
            </w:pPr>
            <w:r>
              <w:t xml:space="preserve">Classification</w:t>
            </w:r>
          </w:p>
        </w:tc>
        <w:tc>
          <w:tcPr/>
          <w:p>
            <w:pPr>
              <w:pStyle w:val="Compact"/>
            </w:pPr>
            <w:r>
              <w:t xml:space="preserve">Internal</w:t>
            </w:r>
          </w:p>
        </w:tc>
      </w:tr>
      <w:tr>
        <w:tc>
          <w:tcPr/>
          <w:p>
            <w:pPr>
              <w:pStyle w:val="Compact"/>
            </w:pPr>
            <w:r>
              <w:t xml:space="preserve">Use</w:t>
            </w:r>
          </w:p>
        </w:tc>
        <w:tc>
          <w:tcPr/>
          <w:p>
            <w:pPr>
              <w:pStyle w:val="Compact"/>
            </w:pPr>
            <w:r>
              <w:t xml:space="preserve">Mutual exchanges only. For one-way inbound or outbound disclosure use form NDA-U-2026.1.</w:t>
            </w:r>
          </w:p>
        </w:tc>
      </w:tr>
    </w:tbl>
    <w:p>
      <w:pPr>
        <w:pStyle w:val="BodyText"/>
      </w:pPr>
      <w:r>
        <w:rPr>
          <w:b/>
          <w:bCs/>
        </w:rPr>
        <w:t xml:space="preserve">This is a template. Bracketed fields are completed at execution. Text outside brackets is the approved form and may be changed only under the deviation rules in</w:t>
      </w:r>
      <w:r>
        <w:rPr>
          <w:b/>
          <w:bCs/>
        </w:rPr>
        <w:t xml:space="preserve"> </w:t>
      </w:r>
      <w:r>
        <w:rPr>
          <w:rStyle w:val="VerbatimChar"/>
          <w:b/>
          <w:bCs/>
        </w:rPr>
        <w:t xml:space="preserve">signing-authority-matrix.md</w:t>
      </w:r>
      <w:r>
        <w:rPr>
          <w:b/>
          <w:bCs/>
        </w:rPr>
        <w:t xml:space="preserve">.</w:t>
      </w:r>
    </w:p>
    <w:p>
      <w:r>
        <w:pict>
          <v:rect style="width:0;height:1.5pt" o:hralign="center" o:hrstd="t" o:hr="t"/>
        </w:pict>
      </w:r>
    </w:p>
    <w:bookmarkStart w:id="22" w:name="mutual-confidentiality-agreement"/>
    <w:p>
      <w:pPr>
        <w:pStyle w:val="Heading2"/>
      </w:pPr>
      <w:r>
        <w:t xml:space="preserve">MUTUAL CONFIDENTIALITY AGREEMENT</w:t>
      </w:r>
    </w:p>
    <w:p>
      <w:pPr>
        <w:pStyle w:val="FirstParagraph"/>
      </w:pPr>
      <w:r>
        <w:t xml:space="preserve">This Mutual Confidentiality Agreement (this</w:t>
      </w:r>
      <w:r>
        <w:t xml:space="preserve"> </w:t>
      </w:r>
      <w:r>
        <w:t xml:space="preserve">“</w:t>
      </w:r>
      <w:r>
        <w:rPr>
          <w:b/>
          <w:bCs/>
        </w:rPr>
        <w:t xml:space="preserve">Agreement</w:t>
      </w:r>
      <w:r>
        <w:t xml:space="preserve">”</w:t>
      </w:r>
      <w:r>
        <w:t xml:space="preserve">) is entered into as of [EFFECTIVE DATE] (the</w:t>
      </w:r>
      <w:r>
        <w:t xml:space="preserve"> </w:t>
      </w:r>
      <w:r>
        <w:t xml:space="preserve">“</w:t>
      </w:r>
      <w:r>
        <w:rPr>
          <w:b/>
          <w:bCs/>
        </w:rPr>
        <w:t xml:space="preserve">Effective Date</w:t>
      </w:r>
      <w:r>
        <w:t xml:space="preserve">”</w:t>
      </w:r>
      <w:r>
        <w:t xml:space="preserve">) by and between</w:t>
      </w:r>
      <w:r>
        <w:t xml:space="preserve"> </w:t>
      </w:r>
      <w:r>
        <w:rPr>
          <w:b/>
          <w:bCs/>
        </w:rPr>
        <w:t xml:space="preserve">Atticus Dundee Inc.</w:t>
      </w:r>
      <w:r>
        <w:t xml:space="preserve">, a [STATE OF INCORPORATION] corporation with its principal place of business at [ADDRESS] (</w:t>
      </w:r>
      <w:r>
        <w:t xml:space="preserve">“</w:t>
      </w:r>
      <w:r>
        <w:rPr>
          <w:b/>
          <w:bCs/>
        </w:rPr>
        <w:t xml:space="preserve">Atticus Dundee</w:t>
      </w:r>
      <w:r>
        <w:t xml:space="preserve">”</w:t>
      </w:r>
      <w:r>
        <w:t xml:space="preserve">), and</w:t>
      </w:r>
      <w:r>
        <w:t xml:space="preserve"> </w:t>
      </w:r>
      <w:r>
        <w:rPr>
          <w:b/>
          <w:bCs/>
        </w:rPr>
        <w:t xml:space="preserve">[COUNTERPARTY LEGAL NAME]</w:t>
      </w:r>
      <w:r>
        <w:t xml:space="preserve">, a [COUNTERPARTY JURISDICTION] [ENTITY TYPE] with its principal place of business at [COUNTERPARTY ADDRESS] (</w:t>
      </w:r>
      <w:r>
        <w:t xml:space="preserve">“</w:t>
      </w:r>
      <w:r>
        <w:rPr>
          <w:b/>
          <w:bCs/>
        </w:rPr>
        <w:t xml:space="preserve">Counterparty</w:t>
      </w:r>
      <w:r>
        <w:t xml:space="preserve">”</w:t>
      </w:r>
      <w:r>
        <w:t xml:space="preserve">). Atticus Dundee and Counterparty are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p>
    <w:bookmarkStart w:id="9" w:name="recitals"/>
    <w:p>
      <w:pPr>
        <w:pStyle w:val="Heading3"/>
      </w:pPr>
      <w:r>
        <w:t xml:space="preserve">Recitals</w:t>
      </w:r>
    </w:p>
    <w:p>
      <w:pPr>
        <w:pStyle w:val="FirstParagraph"/>
      </w:pPr>
      <w:r>
        <w:t xml:space="preserve">The Parties wish to explore [DESCRIBE PURPOSE, e.g., a potential commercial relationship under which Counterparty would supply data enrichment services to Atticus Dundee] (the</w:t>
      </w:r>
      <w:r>
        <w:t xml:space="preserve"> </w:t>
      </w:r>
      <w:r>
        <w:t xml:space="preserve">“</w:t>
      </w:r>
      <w:r>
        <w:rPr>
          <w:b/>
          <w:bCs/>
        </w:rPr>
        <w:t xml:space="preserve">Purpose</w:t>
      </w:r>
      <w:r>
        <w:t xml:space="preserve">”</w:t>
      </w:r>
      <w:r>
        <w:t xml:space="preserve">) and, in connection with the Purpose, each Party may disclose to the other certain confidential and proprietary information. The Parties enter into this Agreement to protect that information.</w:t>
      </w:r>
    </w:p>
    <w:bookmarkEnd w:id="9"/>
    <w:bookmarkStart w:id="10" w:name="definitions"/>
    <w:p>
      <w:pPr>
        <w:pStyle w:val="Heading3"/>
      </w:pPr>
      <w:r>
        <w:t xml:space="preserve">1. Definitions</w:t>
      </w:r>
    </w:p>
    <w:p>
      <w:pPr>
        <w:pStyle w:val="FirstParagraph"/>
      </w:pPr>
      <w:r>
        <w:t xml:space="preserve">1.1</w:t>
      </w:r>
      <w:r>
        <w:t xml:space="preserve"> </w:t>
      </w:r>
      <w:r>
        <w:t xml:space="preserve">“</w:t>
      </w:r>
      <w:r>
        <w:rPr>
          <w:b/>
          <w:bCs/>
        </w:rPr>
        <w:t xml:space="preserve">Confidential Information</w:t>
      </w:r>
      <w:r>
        <w:t xml:space="preserve">”</w:t>
      </w:r>
      <w:r>
        <w:t xml:space="preserve"> </w:t>
      </w:r>
      <w:r>
        <w:t xml:space="preserve">means any non-public information disclosed by or on behalf of a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the Purpose, in any form, whether or not marked or identified as confidential, that a reasonable person would understand to be confidential given the nature of the information and the circumstances of disclosure. Confidential Information includes technical data, source code, algorithms, product plans and roadmaps, security documentation, research, financial information, pricing, customer and supplier lists and identities, personnel information, and the existence and content of any discussions between the Parties concerning the Purpose.</w:t>
      </w:r>
    </w:p>
    <w:p>
      <w:pPr>
        <w:pStyle w:val="BodyText"/>
      </w:pPr>
      <w:r>
        <w:t xml:space="preserve">1.2</w:t>
      </w:r>
      <w:r>
        <w:t xml:space="preserve"> </w:t>
      </w:r>
      <w:r>
        <w:t xml:space="preserve">“</w:t>
      </w:r>
      <w:r>
        <w:rPr>
          <w:b/>
          <w:bCs/>
        </w:rPr>
        <w:t xml:space="preserve">Representatives</w:t>
      </w:r>
      <w:r>
        <w:t xml:space="preserve">”</w:t>
      </w:r>
      <w:r>
        <w:t xml:space="preserve"> </w:t>
      </w:r>
      <w:r>
        <w:t xml:space="preserve">means, with respect to a Party, its employees, officers, directors, and its professional advisers, in each case who have a need to know the Confidential Information for the Purpose and who are bound by obligations of confidentiality no less protective than those in this Agreement.</w:t>
      </w:r>
    </w:p>
    <w:p>
      <w:pPr>
        <w:pStyle w:val="BodyText"/>
      </w:pPr>
      <w:r>
        <w:t xml:space="preserve">1.3</w:t>
      </w:r>
      <w:r>
        <w:t xml:space="preserve"> </w:t>
      </w:r>
      <w:r>
        <w:t xml:space="preserve">“</w:t>
      </w:r>
      <w:r>
        <w:rPr>
          <w:b/>
          <w:bCs/>
        </w:rPr>
        <w:t xml:space="preserve">Trade Secret</w:t>
      </w:r>
      <w:r>
        <w:t xml:space="preserve">”</w:t>
      </w:r>
      <w:r>
        <w:t xml:space="preserve"> </w:t>
      </w:r>
      <w:r>
        <w:t xml:space="preserve">means Confidential Information that constitutes a trade secret under applicable law.</w:t>
      </w:r>
    </w:p>
    <w:bookmarkEnd w:id="10"/>
    <w:bookmarkStart w:id="11" w:name="exclusions"/>
    <w:p>
      <w:pPr>
        <w:pStyle w:val="Heading3"/>
      </w:pPr>
      <w:r>
        <w:t xml:space="preserve">2. Exclusions</w:t>
      </w:r>
    </w:p>
    <w:p>
      <w:pPr>
        <w:pStyle w:val="FirstParagraph"/>
      </w:pPr>
      <w:r>
        <w:t xml:space="preserve">Confidential Information does not include information that the Receiving Party can demonstrate by contemporaneous written records:</w:t>
      </w:r>
    </w:p>
    <w:p>
      <w:pPr>
        <w:numPr>
          <w:ilvl w:val="0"/>
          <w:numId w:val="1001"/>
        </w:numPr>
      </w:pPr>
      <w:r>
        <w:t xml:space="preserve">was already known to the Receiving Party without restriction at the time of disclosure;</w:t>
      </w:r>
    </w:p>
    <w:p>
      <w:pPr>
        <w:numPr>
          <w:ilvl w:val="0"/>
          <w:numId w:val="1001"/>
        </w:numPr>
      </w:pPr>
      <w:r>
        <w:t xml:space="preserve">is or becomes publicly available through no act or omission of the Receiving Party or its Representatives;</w:t>
      </w:r>
    </w:p>
    <w:p>
      <w:pPr>
        <w:numPr>
          <w:ilvl w:val="0"/>
          <w:numId w:val="1001"/>
        </w:numPr>
      </w:pPr>
      <w:r>
        <w:t xml:space="preserve">is rightfully received by the Receiving Party from a third party without a duty of confidentiality to the Disclosing Party; or</w:t>
      </w:r>
    </w:p>
    <w:p>
      <w:pPr>
        <w:numPr>
          <w:ilvl w:val="0"/>
          <w:numId w:val="1001"/>
        </w:numPr>
      </w:pPr>
      <w:r>
        <w:t xml:space="preserve">is independently developed by the Receiving Party without use of or reference to the Disclosing Party’s Confidential Information.</w:t>
      </w:r>
    </w:p>
    <w:bookmarkEnd w:id="11"/>
    <w:bookmarkStart w:id="12" w:name="obligations"/>
    <w:p>
      <w:pPr>
        <w:pStyle w:val="Heading3"/>
      </w:pPr>
      <w:r>
        <w:t xml:space="preserve">3. Obligations</w:t>
      </w:r>
    </w:p>
    <w:p>
      <w:pPr>
        <w:pStyle w:val="FirstParagraph"/>
      </w:pPr>
      <w:r>
        <w:t xml:space="preserve">3.1</w:t>
      </w:r>
      <w:r>
        <w:t xml:space="preserve"> </w:t>
      </w:r>
      <w:r>
        <w:rPr>
          <w:b/>
          <w:bCs/>
        </w:rPr>
        <w:t xml:space="preserve">Use.</w:t>
      </w:r>
      <w:r>
        <w:t xml:space="preserve"> </w:t>
      </w:r>
      <w:r>
        <w:t xml:space="preserve">The Receiving Party shall use the Disclosing Party’s Confidential Information solely for the Purpose and for no other purpose.</w:t>
      </w:r>
    </w:p>
    <w:p>
      <w:pPr>
        <w:pStyle w:val="BodyText"/>
      </w:pPr>
      <w:r>
        <w:t xml:space="preserve">3.2</w:t>
      </w:r>
      <w:r>
        <w:t xml:space="preserve"> </w:t>
      </w:r>
      <w:r>
        <w:rPr>
          <w:b/>
          <w:bCs/>
        </w:rPr>
        <w:t xml:space="preserve">Disclosure.</w:t>
      </w:r>
      <w:r>
        <w:t xml:space="preserve"> </w:t>
      </w:r>
      <w:r>
        <w:t xml:space="preserve">The Receiving Party shall not disclose the Disclosing Party’s Confidential Information to any person other than its Representatives. The Receiving Party is responsible for any breach of this Agreement by its Representatives as if it were the Receiving Party’s own breach.</w:t>
      </w:r>
    </w:p>
    <w:p>
      <w:pPr>
        <w:pStyle w:val="BodyText"/>
      </w:pPr>
      <w:r>
        <w:t xml:space="preserve">3.3</w:t>
      </w:r>
      <w:r>
        <w:t xml:space="preserve"> </w:t>
      </w:r>
      <w:r>
        <w:rPr>
          <w:b/>
          <w:bCs/>
        </w:rPr>
        <w:t xml:space="preserve">Standard of care.</w:t>
      </w:r>
      <w:r>
        <w:t xml:space="preserve"> </w:t>
      </w:r>
      <w:r>
        <w:t xml:space="preserve">The Receiving Party shall protect the Disclosing Party’s Confidential Information using at least the degree of care it uses to protect its own confidential information of like importance, and in no event less than a reasonable degree of care.</w:t>
      </w:r>
    </w:p>
    <w:p>
      <w:pPr>
        <w:pStyle w:val="BodyText"/>
      </w:pPr>
      <w:r>
        <w:t xml:space="preserve">3.4</w:t>
      </w:r>
      <w:r>
        <w:t xml:space="preserve"> </w:t>
      </w:r>
      <w:r>
        <w:rPr>
          <w:b/>
          <w:bCs/>
        </w:rPr>
        <w:t xml:space="preserve">Security.</w:t>
      </w:r>
      <w:r>
        <w:t xml:space="preserve"> </w:t>
      </w:r>
      <w:r>
        <w:t xml:space="preserve">The Receiving Party shall maintain administrative, technical, and physical safeguards appropriate to the sensitivity of the Confidential Information it receives, including access controls limiting access to Representatives with a need to know.</w:t>
      </w:r>
    </w:p>
    <w:p>
      <w:pPr>
        <w:pStyle w:val="BodyText"/>
      </w:pPr>
      <w:r>
        <w:t xml:space="preserve">3.5</w:t>
      </w:r>
      <w:r>
        <w:t xml:space="preserve"> </w:t>
      </w:r>
      <w:r>
        <w:rPr>
          <w:b/>
          <w:bCs/>
        </w:rPr>
        <w:t xml:space="preserve">Notice of unauthorized use.</w:t>
      </w:r>
      <w:r>
        <w:t xml:space="preserve"> </w:t>
      </w:r>
      <w:r>
        <w:t xml:space="preserve">The Receiving Party shall notify the Disclosing Party promptly, and in any event within [NOTICE PERIOD, default: five (5) business days], after becoming aware of any unauthorized use or disclosure of the Disclosing Party’s Confidential Information, and shall cooperate with the Disclosing Party to mitigate its effects.</w:t>
      </w:r>
    </w:p>
    <w:bookmarkEnd w:id="12"/>
    <w:bookmarkStart w:id="13" w:name="compelled-disclosure"/>
    <w:p>
      <w:pPr>
        <w:pStyle w:val="Heading3"/>
      </w:pPr>
      <w:r>
        <w:t xml:space="preserve">4. Compelled Disclosure</w:t>
      </w:r>
    </w:p>
    <w:p>
      <w:pPr>
        <w:pStyle w:val="FirstParagraph"/>
      </w:pPr>
      <w:r>
        <w:t xml:space="preserve">If the Receiving Party is required by law, regulation, or valid legal process to disclose any Confidential Information, it may do so, provided that it (a) gives the Disclosing Party prompt written notice sufficient to allow the Disclosing Party to seek a protective order or other remedy, unless such notice is prohibited by law, (b) discloses only that portion of the Confidential Information that it is legally required to disclose, and (c) uses reasonable efforts to obtain confidential treatment for the disclosed information.</w:t>
      </w:r>
    </w:p>
    <w:bookmarkEnd w:id="13"/>
    <w:bookmarkStart w:id="14" w:name="term-and-survival"/>
    <w:p>
      <w:pPr>
        <w:pStyle w:val="Heading3"/>
      </w:pPr>
      <w:r>
        <w:t xml:space="preserve">5. Term and Survival</w:t>
      </w:r>
    </w:p>
    <w:p>
      <w:pPr>
        <w:pStyle w:val="FirstParagraph"/>
      </w:pPr>
      <w:r>
        <w:t xml:space="preserve">5.1</w:t>
      </w:r>
      <w:r>
        <w:t xml:space="preserve"> </w:t>
      </w:r>
      <w:r>
        <w:rPr>
          <w:b/>
          <w:bCs/>
        </w:rPr>
        <w:t xml:space="preserve">Term.</w:t>
      </w:r>
      <w:r>
        <w:t xml:space="preserve"> </w:t>
      </w:r>
      <w:r>
        <w:t xml:space="preserve">This Agreement commences on the Effective Date and continues for [TERM, default: two (2) years], unless earlier terminated by either Party on thirty (30) days’ written notice.</w:t>
      </w:r>
    </w:p>
    <w:p>
      <w:pPr>
        <w:pStyle w:val="BodyText"/>
      </w:pPr>
      <w:r>
        <w:t xml:space="preserve">5.2</w:t>
      </w:r>
      <w:r>
        <w:t xml:space="preserve"> </w:t>
      </w:r>
      <w:r>
        <w:rPr>
          <w:b/>
          <w:bCs/>
        </w:rPr>
        <w:t xml:space="preserve">Survival.</w:t>
      </w:r>
      <w:r>
        <w:t xml:space="preserve"> </w:t>
      </w:r>
      <w:r>
        <w:t xml:space="preserve">The obligations in Sections 3 and 4 survive for [SURVIVAL PERIOD, default: three (3) years] following the date of disclosure of the Confidential Information to which they apply.</w:t>
      </w:r>
    </w:p>
    <w:p>
      <w:pPr>
        <w:pStyle w:val="BodyText"/>
      </w:pPr>
      <w:r>
        <w:t xml:space="preserve">5.3</w:t>
      </w:r>
      <w:r>
        <w:t xml:space="preserve"> </w:t>
      </w:r>
      <w:r>
        <w:rPr>
          <w:b/>
          <w:bCs/>
        </w:rPr>
        <w:t xml:space="preserve">Trade Secrets.</w:t>
      </w:r>
      <w:r>
        <w:t xml:space="preserve"> </w:t>
      </w:r>
      <w:r>
        <w:t xml:space="preserve">Notwithstanding Section 5.2, with respect to information that constitutes a Trade Secret, the obligations in Sections 3 and 4 continue for so long as the information remains a Trade Secret under applicable law.</w:t>
      </w:r>
    </w:p>
    <w:bookmarkEnd w:id="14"/>
    <w:bookmarkStart w:id="15" w:name="return-or-destruction"/>
    <w:p>
      <w:pPr>
        <w:pStyle w:val="Heading3"/>
      </w:pPr>
      <w:r>
        <w:t xml:space="preserve">6. Return or Destruction</w:t>
      </w:r>
    </w:p>
    <w:p>
      <w:pPr>
        <w:pStyle w:val="FirstParagraph"/>
      </w:pPr>
      <w:r>
        <w:t xml:space="preserve">Upon the Disclosing Party’s written request, or upon expiration or termination of this Agreement, the Receiving Party shall promptly, and in any event within [RETURN PERIOD, default: thirty (30) days], return or destroy all Confidential Information of the Disclosing Party in its possession or control and, if requested, certify in writing that it has done so. The Receiving Party may retain (a) one archival copy solely for the purpose of determining its obligations under this Agreement and (b) copies retained in routine automated backup systems that are not readily accessible, in each case subject to the continuing obligations of this Agreement for so long as such copies are retained.</w:t>
      </w:r>
    </w:p>
    <w:bookmarkEnd w:id="15"/>
    <w:bookmarkStart w:id="16" w:name="no-license-no-obligation"/>
    <w:p>
      <w:pPr>
        <w:pStyle w:val="Heading3"/>
      </w:pPr>
      <w:r>
        <w:t xml:space="preserve">7. No License; No Obligation</w:t>
      </w:r>
    </w:p>
    <w:p>
      <w:pPr>
        <w:pStyle w:val="FirstParagraph"/>
      </w:pPr>
      <w:r>
        <w:t xml:space="preserve">7.1</w:t>
      </w:r>
      <w:r>
        <w:t xml:space="preserve"> </w:t>
      </w:r>
      <w:r>
        <w:rPr>
          <w:b/>
          <w:bCs/>
        </w:rPr>
        <w:t xml:space="preserve">No license.</w:t>
      </w:r>
      <w:r>
        <w:t xml:space="preserve"> </w:t>
      </w:r>
      <w:r>
        <w:t xml:space="preserve">All Confidential Information remains the property of the Disclosing Party. Nothing in this Agreement grants the Receiving Party any licence, right, title, or interest in or to any intellectual property of the Disclosing Party, whether by implication, estoppel, or otherwise.</w:t>
      </w:r>
    </w:p>
    <w:p>
      <w:pPr>
        <w:pStyle w:val="BodyText"/>
      </w:pPr>
      <w:r>
        <w:t xml:space="preserve">7.2</w:t>
      </w:r>
      <w:r>
        <w:t xml:space="preserve"> </w:t>
      </w:r>
      <w:r>
        <w:rPr>
          <w:b/>
          <w:bCs/>
        </w:rPr>
        <w:t xml:space="preserve">No obligation to proceed.</w:t>
      </w:r>
      <w:r>
        <w:t xml:space="preserve"> </w:t>
      </w:r>
      <w:r>
        <w:t xml:space="preserve">Nothing in this Agreement obligates either Party to disclose any information, to proceed with the Purpose, or to enter into any further agreement.</w:t>
      </w:r>
    </w:p>
    <w:p>
      <w:pPr>
        <w:pStyle w:val="BodyText"/>
      </w:pPr>
      <w:r>
        <w:t xml:space="preserve">7.3</w:t>
      </w:r>
      <w:r>
        <w:t xml:space="preserve"> </w:t>
      </w:r>
      <w:r>
        <w:rPr>
          <w:b/>
          <w:bCs/>
        </w:rPr>
        <w:t xml:space="preserve">No warranty.</w:t>
      </w:r>
      <w:r>
        <w:t xml:space="preserve"> </w:t>
      </w:r>
      <w:r>
        <w:t xml:space="preserve">All Confidential Information is provided</w:t>
      </w:r>
      <w:r>
        <w:t xml:space="preserve"> </w:t>
      </w:r>
      <w:r>
        <w:t xml:space="preserve">“as is.”</w:t>
      </w:r>
      <w:r>
        <w:t xml:space="preserve"> </w:t>
      </w:r>
      <w:r>
        <w:t xml:space="preserve">Neither Party makes any representation or warranty as to the accuracy or completeness of its Confidential Information.</w:t>
      </w:r>
    </w:p>
    <w:bookmarkEnd w:id="16"/>
    <w:bookmarkStart w:id="17" w:name="remedies"/>
    <w:p>
      <w:pPr>
        <w:pStyle w:val="Heading3"/>
      </w:pPr>
      <w:r>
        <w:t xml:space="preserve">8. Remedies</w:t>
      </w:r>
    </w:p>
    <w:p>
      <w:pPr>
        <w:pStyle w:val="FirstParagraph"/>
      </w:pPr>
      <w:r>
        <w:t xml:space="preserve">Each Party acknowledges that a breach of this Agreement may cause irreparable harm for which monetary damages would be an inadequate remedy, and that the non-breaching Party is entitled to seek equitable relief, including injunctive relief and specific performance, in addition to all other remedies available at law or in equity. Nothing in this Section limits either Party’s right to recover damages.</w:t>
      </w:r>
    </w:p>
    <w:bookmarkEnd w:id="17"/>
    <w:bookmarkStart w:id="18" w:name="X45633aa66d0485e0b35a06464aedf8cabbc02a1"/>
    <w:p>
      <w:pPr>
        <w:pStyle w:val="Heading3"/>
      </w:pPr>
      <w:r>
        <w:t xml:space="preserve">9. Notice Under the Defend Trade Secrets Act</w:t>
      </w:r>
    </w:p>
    <w:p>
      <w:pPr>
        <w:pStyle w:val="FirstParagraph"/>
      </w:pPr>
      <w:r>
        <w:rPr>
          <w:b/>
          <w:bCs/>
        </w:rPr>
        <w:t xml:space="preserve">IMMUNITY NOTICE.</w:t>
      </w:r>
      <w:r>
        <w:t xml:space="preserve"> </w:t>
      </w:r>
      <w:r>
        <w:t xml:space="preserve">Under 18 U.S.C. § 1833(b),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pStyle w:val="BodyText"/>
      </w:pPr>
      <w:r>
        <w:rPr>
          <w:i/>
          <w:iCs/>
        </w:rPr>
        <w:t xml:space="preserve">This Section is mandatory and may not be removed. It is required in any agreement governing the use of a trade secret or other confidential information with an employee, contractor, or consultant, and its omission forfeits exemplary damages and attorney’s fees under 18 U.S.C. § 1836(b)(3)(C) and (D) against that individual.</w:t>
      </w:r>
    </w:p>
    <w:bookmarkEnd w:id="18"/>
    <w:bookmarkStart w:id="19" w:name="no-publicity"/>
    <w:p>
      <w:pPr>
        <w:pStyle w:val="Heading3"/>
      </w:pPr>
      <w:r>
        <w:t xml:space="preserve">10. No Publicity</w:t>
      </w:r>
    </w:p>
    <w:p>
      <w:pPr>
        <w:pStyle w:val="FirstParagraph"/>
      </w:pPr>
      <w:r>
        <w:t xml:space="preserve">Neither Party shall use the other Party’s name, logo, or trademarks, or refer to the existence of this Agreement or of any discussions between the Parties, in any press release, marketing material, customer list, or other public communication without the other Party’s prior written consent.</w:t>
      </w:r>
    </w:p>
    <w:bookmarkEnd w:id="19"/>
    <w:bookmarkStart w:id="20" w:name="general"/>
    <w:p>
      <w:pPr>
        <w:pStyle w:val="Heading3"/>
      </w:pPr>
      <w:r>
        <w:t xml:space="preserve">11. General</w:t>
      </w:r>
    </w:p>
    <w:p>
      <w:pPr>
        <w:pStyle w:val="FirstParagraph"/>
      </w:pPr>
      <w:r>
        <w:t xml:space="preserve">11.1</w:t>
      </w:r>
      <w:r>
        <w:t xml:space="preserve"> </w:t>
      </w:r>
      <w:r>
        <w:rPr>
          <w:b/>
          <w:bCs/>
        </w:rPr>
        <w:t xml:space="preserve">Governing law.</w:t>
      </w:r>
      <w:r>
        <w:t xml:space="preserve"> </w:t>
      </w:r>
      <w:r>
        <w:t xml:space="preserve">This Agreement is governed by the laws of the State of [GOVERNING LAW STATE], without regard to its conflict of laws principles.</w:t>
      </w:r>
    </w:p>
    <w:p>
      <w:pPr>
        <w:pStyle w:val="BodyText"/>
      </w:pPr>
      <w:r>
        <w:t xml:space="preserve">11.2</w:t>
      </w:r>
      <w:r>
        <w:t xml:space="preserve"> </w:t>
      </w:r>
      <w:r>
        <w:rPr>
          <w:b/>
          <w:bCs/>
        </w:rPr>
        <w:t xml:space="preserve">Jurisdiction.</w:t>
      </w:r>
      <w:r>
        <w:t xml:space="preserve"> </w:t>
      </w:r>
      <w:r>
        <w:t xml:space="preserve">The Parties submit to the exclusive jurisdiction of the state and federal courts located in [VENUE], and waive any objection to venue in those courts.</w:t>
      </w:r>
    </w:p>
    <w:p>
      <w:pPr>
        <w:pStyle w:val="BodyText"/>
      </w:pPr>
      <w:r>
        <w:t xml:space="preserve">11.3</w:t>
      </w:r>
      <w:r>
        <w:t xml:space="preserve"> </w:t>
      </w:r>
      <w:r>
        <w:rPr>
          <w:b/>
          <w:bCs/>
        </w:rPr>
        <w:t xml:space="preserve">Assignment.</w:t>
      </w:r>
      <w:r>
        <w:t xml:space="preserve"> </w:t>
      </w:r>
      <w:r>
        <w:t xml:space="preserve">Neither Party may assign this Agreement without the other Party’s prior written consent, except to a successor in connection with a merger, acquisition, or sale of all or substantially all of its assets, provided that the assigning Party gives written notice and the successor is not a competitor of the other Party.</w:t>
      </w:r>
    </w:p>
    <w:p>
      <w:pPr>
        <w:pStyle w:val="BodyText"/>
      </w:pPr>
      <w:r>
        <w:t xml:space="preserve">11.4</w:t>
      </w:r>
      <w:r>
        <w:t xml:space="preserve"> </w:t>
      </w:r>
      <w:r>
        <w:rPr>
          <w:b/>
          <w:bCs/>
        </w:rPr>
        <w:t xml:space="preserve">No agency.</w:t>
      </w:r>
      <w:r>
        <w:t xml:space="preserve"> </w:t>
      </w:r>
      <w:r>
        <w:t xml:space="preserve">Nothing in this Agreement creates a partnership, joint venture, agency, or employment relationship.</w:t>
      </w:r>
    </w:p>
    <w:p>
      <w:pPr>
        <w:pStyle w:val="BodyText"/>
      </w:pPr>
      <w:r>
        <w:t xml:space="preserve">11.5</w:t>
      </w:r>
      <w:r>
        <w:t xml:space="preserve"> </w:t>
      </w:r>
      <w:r>
        <w:rPr>
          <w:b/>
          <w:bCs/>
        </w:rPr>
        <w:t xml:space="preserve">Severability.</w:t>
      </w:r>
      <w:r>
        <w:t xml:space="preserve"> </w:t>
      </w:r>
      <w:r>
        <w:t xml:space="preserve">If any provision of this Agreement is held unenforceable, it shall be modified to the minimum extent necessary to make it enforceable, and the remaining provisions remain in full force.</w:t>
      </w:r>
    </w:p>
    <w:p>
      <w:pPr>
        <w:pStyle w:val="BodyText"/>
      </w:pPr>
      <w:r>
        <w:t xml:space="preserve">11.6</w:t>
      </w:r>
      <w:r>
        <w:t xml:space="preserve"> </w:t>
      </w:r>
      <w:r>
        <w:rPr>
          <w:b/>
          <w:bCs/>
        </w:rPr>
        <w:t xml:space="preserve">Waiver.</w:t>
      </w:r>
      <w:r>
        <w:t xml:space="preserve"> </w:t>
      </w:r>
      <w:r>
        <w:t xml:space="preserve">No failure or delay in exercising any right operates as a waiver of that right.</w:t>
      </w:r>
    </w:p>
    <w:p>
      <w:pPr>
        <w:pStyle w:val="BodyText"/>
      </w:pPr>
      <w:r>
        <w:t xml:space="preserve">11.7</w:t>
      </w:r>
      <w:r>
        <w:t xml:space="preserve"> </w:t>
      </w:r>
      <w:r>
        <w:rPr>
          <w:b/>
          <w:bCs/>
        </w:rPr>
        <w:t xml:space="preserve">Amendment.</w:t>
      </w:r>
      <w:r>
        <w:t xml:space="preserve"> </w:t>
      </w:r>
      <w:r>
        <w:t xml:space="preserve">This Agreement may be amended only by a written instrument signed by both Parties.</w:t>
      </w:r>
    </w:p>
    <w:p>
      <w:pPr>
        <w:pStyle w:val="BodyText"/>
      </w:pPr>
      <w:r>
        <w:t xml:space="preserve">11.8</w:t>
      </w:r>
      <w:r>
        <w:t xml:space="preserve"> </w:t>
      </w:r>
      <w:r>
        <w:rPr>
          <w:b/>
          <w:bCs/>
        </w:rPr>
        <w:t xml:space="preserve">Notices.</w:t>
      </w:r>
      <w:r>
        <w:t xml:space="preserve"> </w:t>
      </w:r>
      <w:r>
        <w:t xml:space="preserve">Notices under this Agreement must be in writing and are effective on receipt, when sent to the addresses above, to the attention of [ATTICUS DUNDEE NOTICE CONTACT] and [COUNTERPARTY NOTICE CONTACT] respectively, with a copy by email to [ATTICUS DUNDEE NOTICE EMAIL] and [COUNTERPARTY NOTICE EMAIL].</w:t>
      </w:r>
    </w:p>
    <w:p>
      <w:pPr>
        <w:pStyle w:val="BodyText"/>
      </w:pPr>
      <w:r>
        <w:t xml:space="preserve">11.9</w:t>
      </w:r>
      <w:r>
        <w:t xml:space="preserve"> </w:t>
      </w:r>
      <w:r>
        <w:rPr>
          <w:b/>
          <w:bCs/>
        </w:rPr>
        <w:t xml:space="preserve">Entire agreement.</w:t>
      </w:r>
      <w:r>
        <w:t xml:space="preserve"> </w:t>
      </w:r>
      <w:r>
        <w:t xml:space="preserve">This Agreement is the entire agreement between the Parties concerning its subject matter and supersedes all prior understandings concerning that subject matter.</w:t>
      </w:r>
    </w:p>
    <w:p>
      <w:pPr>
        <w:pStyle w:val="BodyText"/>
      </w:pPr>
      <w:r>
        <w:t xml:space="preserve">11.10</w:t>
      </w:r>
      <w:r>
        <w:t xml:space="preserve"> </w:t>
      </w:r>
      <w:r>
        <w:rPr>
          <w:b/>
          <w:bCs/>
        </w:rPr>
        <w:t xml:space="preserve">Counterparts.</w:t>
      </w:r>
      <w:r>
        <w:t xml:space="preserve"> </w:t>
      </w:r>
      <w:r>
        <w:t xml:space="preserve">This Agreement may be executed in counterparts, including by electronic signature, each of which is an original and all of which together constitute one instrument.</w:t>
      </w:r>
    </w:p>
    <w:bookmarkEnd w:id="20"/>
    <w:bookmarkStart w:id="21" w:name="signatures"/>
    <w:p>
      <w:pPr>
        <w:pStyle w:val="Heading3"/>
      </w:pPr>
      <w:r>
        <w:t xml:space="preserve">Signatures</w:t>
      </w:r>
    </w:p>
    <w:p>
      <w:pPr>
        <w:pStyle w:val="FirstParagraph"/>
      </w:pPr>
      <w:r>
        <w:rPr>
          <w:b/>
          <w:bCs/>
        </w:rPr>
        <w:t xml:space="preserve">ATTICUS DUNDEE INC.</w:t>
      </w:r>
    </w:p>
    <w:p>
      <w:pPr>
        <w:pStyle w:val="BodyText"/>
      </w:pPr>
      <w:r>
        <w:t xml:space="preserve">By: ______________________________</w:t>
      </w:r>
      <w:r>
        <w:t xml:space="preserve"> </w:t>
      </w:r>
      <w:r>
        <w:t xml:space="preserve">Name: [SIGNATORY NAME]</w:t>
      </w:r>
      <w:r>
        <w:t xml:space="preserve"> </w:t>
      </w:r>
      <w:r>
        <w:t xml:space="preserve">Title: [SIGNATORY TITLE]</w:t>
      </w:r>
      <w:r>
        <w:t xml:space="preserve"> </w:t>
      </w:r>
      <w:r>
        <w:t xml:space="preserve">Date: ______________________________</w:t>
      </w:r>
    </w:p>
    <w:p>
      <w:pPr>
        <w:pStyle w:val="BodyText"/>
      </w:pPr>
      <w:r>
        <w:rPr>
          <w:b/>
          <w:bCs/>
        </w:rPr>
        <w:t xml:space="preserve">[COUNTERPARTY LEGAL NAME]</w:t>
      </w:r>
    </w:p>
    <w:p>
      <w:pPr>
        <w:pStyle w:val="BodyText"/>
      </w:pPr>
      <w:r>
        <w:t xml:space="preserve">By: ______________________________</w:t>
      </w:r>
      <w:r>
        <w:t xml:space="preserve"> </w:t>
      </w:r>
      <w:r>
        <w:t xml:space="preserve">Name: [COUNTERPARTY SIGNATORY NAME]</w:t>
      </w:r>
      <w:r>
        <w:t xml:space="preserve"> </w:t>
      </w:r>
      <w:r>
        <w:t xml:space="preserve">Title: [COUNTERPARTY SIGNATORY TITLE]</w:t>
      </w:r>
      <w:r>
        <w:t xml:space="preserve"> </w:t>
      </w:r>
      <w:r>
        <w:t xml:space="preserve">Date: ______________________________</w:t>
      </w:r>
    </w:p>
    <w:p>
      <w:r>
        <w:pict>
          <v:rect style="width:0;height:1.5pt" o:hralign="center" o:hrstd="t" o:hr="t"/>
        </w:pict>
      </w:r>
    </w:p>
    <w:bookmarkEnd w:id="21"/>
    <w:bookmarkEnd w:id="22"/>
    <w:bookmarkStart w:id="25" w:name="optional-provisions"/>
    <w:p>
      <w:pPr>
        <w:pStyle w:val="Heading2"/>
      </w:pPr>
      <w:r>
        <w:t xml:space="preserve">Optional Provisions</w:t>
      </w:r>
    </w:p>
    <w:p>
      <w:pPr>
        <w:pStyle w:val="FirstParagraph"/>
      </w:pPr>
      <w:r>
        <w:t xml:space="preserve">Insert only where the deal requires it and the approval in</w:t>
      </w:r>
      <w:r>
        <w:t xml:space="preserve"> </w:t>
      </w:r>
      <w:r>
        <w:rPr>
          <w:rStyle w:val="VerbatimChar"/>
        </w:rPr>
        <w:t xml:space="preserve">signing-authority-matrix.md</w:t>
      </w:r>
      <w:r>
        <w:t xml:space="preserve"> </w:t>
      </w:r>
      <w:r>
        <w:t xml:space="preserve">has been obtained. These are not part of the default form and their inclusion is recorded as a deviation.</w:t>
      </w:r>
    </w:p>
    <w:bookmarkStart w:id="23" w:name="Xaf4291359632482dbc90c75d0cb7ee87eee6b29"/>
    <w:p>
      <w:pPr>
        <w:pStyle w:val="Heading3"/>
      </w:pPr>
      <w:r>
        <w:t xml:space="preserve">Optional Section A: Non-Solicitation of Personnel</w:t>
      </w:r>
    </w:p>
    <w:p>
      <w:pPr>
        <w:pStyle w:val="FirstParagraph"/>
      </w:pPr>
      <w:r>
        <w:rPr>
          <w:i/>
          <w:iCs/>
        </w:rPr>
        <w:t xml:space="preserve">Approval required: Senior Counsel, Commercial. Maximum permitted duration: twenty-four (24) months.</w:t>
      </w:r>
    </w:p>
    <w:p>
      <w:pPr>
        <w:pStyle w:val="BlockText"/>
      </w:pPr>
      <w:r>
        <w:t xml:space="preserve">During the term of this Agreement and for [PERIOD, maximum twenty-four (24) months] thereafter, neither Party shall directly solicit for employment any employee of the other Party with whom it had contact in connection with the Purpose. This Section does not restrict (a) general advertising or recruiting not specifically directed at the other Party’s employees, (b) the engagement of any person who responds to such general advertising, or (c) the engagement of any person whose employment with the other Party ended at least [COOLING PERIOD, default: six (6) months] before first contact.</w:t>
      </w:r>
    </w:p>
    <w:bookmarkEnd w:id="23"/>
    <w:bookmarkStart w:id="24" w:name="optional-section-b-residual-knowledge"/>
    <w:p>
      <w:pPr>
        <w:pStyle w:val="Heading3"/>
      </w:pPr>
      <w:r>
        <w:t xml:space="preserve">Optional Section B: Residual Knowledge</w:t>
      </w:r>
    </w:p>
    <w:p>
      <w:pPr>
        <w:pStyle w:val="FirstParagraph"/>
      </w:pPr>
      <w:r>
        <w:rPr>
          <w:i/>
          <w:iCs/>
        </w:rPr>
        <w:t xml:space="preserve">Approval required: General Counsel. Only where the counterparty will not proceed without it. Never accept a residuals clause that extends to Trade Secrets, to information fixed in a tangible medium, or to patent or copyright rights.</w:t>
      </w:r>
    </w:p>
    <w:p>
      <w:pPr>
        <w:pStyle w:val="BlockText"/>
      </w:pPr>
      <w:r>
        <w:t xml:space="preserve">Nothing in this Agreement restricts a Party from using, in the ordinary course of its business, general knowledge, skills, and experience retained in the unaided memory of its Representatives who had authorized access to the other Party’s Confidential Information, provided that (a) this Section confers no licence under any patent or copyright of the Disclosing Party, (b) this Section does not apply to any Trade Secret, and (c) no Representative may intentionally memorize Confidential Information for the purpose of relying on this Section.</w:t>
      </w:r>
      <w:r>
        <w:t xml:space="preserve"> </w:t>
      </w:r>
      <w:r>
        <w:t xml:space="preserve">“Unaided memory”</w:t>
      </w:r>
      <w:r>
        <w:t xml:space="preserve"> </w:t>
      </w:r>
      <w:r>
        <w:t xml:space="preserve">means memory unassisted by any note, copy, extract, or other record.</w:t>
      </w:r>
    </w:p>
    <w:p>
      <w:r>
        <w:pict>
          <v:rect style="width:0;height:1.5pt" o:hralign="center" o:hrstd="t" o:hr="t"/>
        </w:pict>
      </w:r>
    </w:p>
    <w:bookmarkEnd w:id="24"/>
    <w:bookmarkEnd w:id="25"/>
    <w:bookmarkStart w:id="26" w:name="use-notes"/>
    <w:p>
      <w:pPr>
        <w:pStyle w:val="Heading2"/>
      </w:pPr>
      <w:r>
        <w:t xml:space="preserve">Use Notes</w:t>
      </w:r>
    </w:p>
    <w:p>
      <w:pPr>
        <w:pStyle w:val="FirstParagraph"/>
      </w:pPr>
      <w:r>
        <w:rPr>
          <w:b/>
          <w:bCs/>
        </w:rPr>
        <w:t xml:space="preserve">Not part of the executed form. Delete before sending.</w:t>
      </w:r>
    </w:p>
    <w:p>
      <w:pPr>
        <w:pStyle w:val="Compact"/>
        <w:numPr>
          <w:ilvl w:val="0"/>
          <w:numId w:val="1002"/>
        </w:numPr>
      </w:pPr>
      <w:r>
        <w:rPr>
          <w:b/>
          <w:bCs/>
        </w:rPr>
        <w:t xml:space="preserve">Section 1.1 is deliberately broad and does not require marking.</w:t>
      </w:r>
      <w:r>
        <w:t xml:space="preserve"> </w:t>
      </w:r>
      <w:r>
        <w:t xml:space="preserve">A marking requirement puts the burden on the discloser and is regularly missed in practice. If a counterparty insists on marking, the fallback is marking within thirty days of oral disclosure, not marking at the time of disclosure.</w:t>
      </w:r>
    </w:p>
    <w:p>
      <w:pPr>
        <w:pStyle w:val="Compact"/>
        <w:numPr>
          <w:ilvl w:val="0"/>
          <w:numId w:val="1002"/>
        </w:numPr>
      </w:pPr>
      <w:r>
        <w:rPr>
          <w:b/>
          <w:bCs/>
        </w:rPr>
        <w:t xml:space="preserve">Section 2 carries the four standard exclusions and no more.</w:t>
      </w:r>
      <w:r>
        <w:t xml:space="preserve"> </w:t>
      </w:r>
      <w:r>
        <w:t xml:space="preserve">A fifth exclusion is a deviation. The most common counterparty addition is an exclusion for information</w:t>
      </w:r>
      <w:r>
        <w:t xml:space="preserve"> </w:t>
      </w:r>
      <w:r>
        <w:t xml:space="preserve">“in the possession of the Receiving Party’s affiliates,”</w:t>
      </w:r>
      <w:r>
        <w:t xml:space="preserve"> </w:t>
      </w:r>
      <w:r>
        <w:t xml:space="preserve">which is not an exclusion at all and should be refused.</w:t>
      </w:r>
    </w:p>
    <w:p>
      <w:pPr>
        <w:pStyle w:val="Compact"/>
        <w:numPr>
          <w:ilvl w:val="0"/>
          <w:numId w:val="1002"/>
        </w:numPr>
      </w:pPr>
      <w:r>
        <w:rPr>
          <w:b/>
          <w:bCs/>
        </w:rPr>
        <w:t xml:space="preserve">Sections 5.1 and 5.2 are separate on purpose.</w:t>
      </w:r>
      <w:r>
        <w:t xml:space="preserve"> </w:t>
      </w:r>
      <w:r>
        <w:t xml:space="preserve">The term is how long the Parties may keep disclosing; the survival period is how long each disclosure stays protected. A counterparty that collapses them into a single two-year clause is asking for protection to expire on information disclosed in month twenty-three.</w:t>
      </w:r>
    </w:p>
    <w:p>
      <w:pPr>
        <w:pStyle w:val="Compact"/>
        <w:numPr>
          <w:ilvl w:val="0"/>
          <w:numId w:val="1002"/>
        </w:numPr>
      </w:pPr>
      <w:r>
        <w:rPr>
          <w:b/>
          <w:bCs/>
        </w:rPr>
        <w:t xml:space="preserve">Section 5.3 is the clause counterparties most often want deleted.</w:t>
      </w:r>
      <w:r>
        <w:t xml:space="preserve"> </w:t>
      </w:r>
      <w:r>
        <w:t xml:space="preserve">It is not a perpetual confidentiality obligation. It tracks the life of the trade secret, which is the correct and standard formulation. Do not accept a fixed outside date on trade secrets.</w:t>
      </w:r>
    </w:p>
    <w:p>
      <w:pPr>
        <w:pStyle w:val="Compact"/>
        <w:numPr>
          <w:ilvl w:val="0"/>
          <w:numId w:val="1002"/>
        </w:numPr>
      </w:pPr>
      <w:r>
        <w:rPr>
          <w:b/>
          <w:bCs/>
        </w:rPr>
        <w:t xml:space="preserve">Section 9 may not be removed under any circumstances,</w:t>
      </w:r>
      <w:r>
        <w:t xml:space="preserve"> </w:t>
      </w:r>
      <w:r>
        <w:t xml:space="preserve">including at a counterparty’s request, and including where the counterparty is an entity rather than an individual. See the note in the section itself.</w:t>
      </w:r>
    </w:p>
    <w:p>
      <w:pPr>
        <w:pStyle w:val="Compact"/>
        <w:numPr>
          <w:ilvl w:val="0"/>
          <w:numId w:val="1002"/>
        </w:numPr>
      </w:pPr>
      <w:r>
        <w:rPr>
          <w:b/>
          <w:bCs/>
        </w:rPr>
        <w:t xml:space="preserve">Section 11.1 must be completed.</w:t>
      </w:r>
      <w:r>
        <w:t xml:space="preserve"> </w:t>
      </w:r>
      <w:r>
        <w:t xml:space="preserve">An executed agreement circulated with the governing law field unresolved is a QA failure and is caught by the pre-execution checklist.</w:t>
      </w:r>
    </w:p>
    <w:p>
      <w:pPr>
        <w:pStyle w:val="Compact"/>
        <w:numPr>
          <w:ilvl w:val="0"/>
          <w:numId w:val="1002"/>
        </w:numPr>
      </w:pPr>
      <w:r>
        <w:rPr>
          <w:b/>
          <w:bCs/>
        </w:rPr>
        <w:t xml:space="preserve">Liquidated damages provisions are never accepted in this form.</w:t>
      </w:r>
      <w:r>
        <w:t xml:space="preserve"> </w:t>
      </w:r>
      <w:r>
        <w:t xml:space="preserve">A per-breach liquidated damages figure is a deal-breaker under the escalation rules and goes to the General Counsel, not to Contract Operations.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2026-08-09T03:07:35Z</dcterms:created>
  <dcterms:modified xsi:type="dcterms:W3CDTF">2026-08-09T03:07:35Z</dcterms:modified>
</cp:coreProperties>
</file>

<file path=docProps/custom.xml><?xml version="1.0" encoding="utf-8"?>
<Properties xmlns="http://schemas.openxmlformats.org/officeDocument/2006/custom-properties" xmlns:vt="http://schemas.openxmlformats.org/officeDocument/2006/docPropsVTypes"/>
</file>