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fb5eb9508b1b8ca3b7661a9b813240d42874875"/>
    <w:p>
      <w:pPr>
        <w:pStyle w:val="Heading1"/>
      </w:pPr>
      <w:r>
        <w:t xml:space="preserve">Enrollment Calendar and Qualifying Life Events, 2026 Plan Year</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ADI-BNF-007</w:t>
            </w:r>
          </w:p>
        </w:tc>
      </w:tr>
      <w:tr>
        <w:tc>
          <w:tcPr/>
          <w:p>
            <w:pPr>
              <w:pStyle w:val="Compact"/>
            </w:pPr>
            <w:r>
              <w:t xml:space="preserve">Version</w:t>
            </w:r>
          </w:p>
        </w:tc>
        <w:tc>
          <w:tcPr/>
          <w:p>
            <w:pPr>
              <w:pStyle w:val="Compact"/>
            </w:pPr>
            <w:r>
              <w:t xml:space="preserve">3.0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2026-01-01</w:t>
            </w:r>
          </w:p>
        </w:tc>
      </w:tr>
      <w:tr>
        <w:tc>
          <w:tcPr/>
          <w:p>
            <w:pPr>
              <w:pStyle w:val="Compact"/>
            </w:pPr>
            <w:r>
              <w:t xml:space="preserve">Last Reviewed</w:t>
            </w:r>
          </w:p>
        </w:tc>
        <w:tc>
          <w:tcPr/>
          <w:p>
            <w:pPr>
              <w:pStyle w:val="Compact"/>
            </w:pPr>
            <w:r>
              <w:t xml:space="preserve">2026-01-01</w:t>
            </w:r>
          </w:p>
        </w:tc>
      </w:tr>
      <w:tr>
        <w:tc>
          <w:tcPr/>
          <w:p>
            <w:pPr>
              <w:pStyle w:val="Compact"/>
            </w:pPr>
            <w:r>
              <w:t xml:space="preserve">Next Review Due</w:t>
            </w:r>
          </w:p>
        </w:tc>
        <w:tc>
          <w:tcPr/>
          <w:p>
            <w:pPr>
              <w:pStyle w:val="Compact"/>
            </w:pPr>
            <w:r>
              <w:t xml:space="preserve">2026-10-01</w:t>
            </w:r>
          </w:p>
        </w:tc>
      </w:tr>
      <w:tr>
        <w:tc>
          <w:tcPr/>
          <w:p>
            <w:pPr>
              <w:pStyle w:val="Compact"/>
            </w:pPr>
            <w:r>
              <w:t xml:space="preserve">Supersedes</w:t>
            </w:r>
          </w:p>
        </w:tc>
        <w:tc>
          <w:tcPr/>
          <w:p>
            <w:pPr>
              <w:pStyle w:val="Compact"/>
            </w:pPr>
            <w:r>
              <w:t xml:space="preserve">ADI-BNF-007 v2.0</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t xml:space="preserve">1. Purpose</w:t>
      </w:r>
    </w:p>
    <w:p>
      <w:pPr>
        <w:pStyle w:val="FirstParagraph"/>
      </w:pPr>
      <w:r>
        <w:t xml:space="preserve">This document sets the dates and deadlines for choosing and changing your benefits in the 2026 plan year: when you enroll as a new hire, when open enrollment for the next plan year runs, which life events let you change an election, which documents you provide for a dependent, and when the Company furnishes summary plan descriptions. It applies to every plan you elect: medical, dental and vision, the health flexible spending account, the health savings account and commuter benefits. Basic life, accidental death and disability coverage need no election, and you may change your 401(k) contributions at any time.</w:t>
      </w:r>
    </w:p>
    <w:bookmarkEnd w:id="10"/>
    <w:bookmarkStart w:id="11" w:name="plan-year"/>
    <w:p>
      <w:pPr>
        <w:pStyle w:val="Heading2"/>
      </w:pPr>
      <w:r>
        <w:t xml:space="preserve">2. Plan Year</w:t>
      </w:r>
    </w:p>
    <w:p>
      <w:pPr>
        <w:pStyle w:val="FirstParagraph"/>
      </w:pPr>
      <w:r>
        <w:t xml:space="preserve">The plan year is the calendar year. The 2026 plan year runs from 2026-01-01 to 2026-12-31. The elections you make for a plan year remain in effect for the whole of it, unless you change them after a qualifying life event under section 5.</w:t>
      </w:r>
    </w:p>
    <w:bookmarkEnd w:id="11"/>
    <w:bookmarkStart w:id="12" w:name="new-hire-enrollment"/>
    <w:p>
      <w:pPr>
        <w:pStyle w:val="Heading2"/>
      </w:pPr>
      <w:r>
        <w:t xml:space="preserve">3. New Hire Enrollment</w:t>
      </w:r>
    </w:p>
    <w:p>
      <w:pPr>
        <w:pStyle w:val="FirstParagraph"/>
      </w:pPr>
      <w:r>
        <w:t xml:space="preserve">You are eligible for the benefits program if you are a regular full-time employee, or a regular part-time employee scheduled for 20 or more hours per week. Your eligibility date is your date of hire.</w:t>
      </w:r>
    </w:p>
    <w:p>
      <w:pPr>
        <w:pStyle w:val="BodyText"/>
      </w:pPr>
      <w:r>
        <w:t xml:space="preserve">You make your elections in the HRIS within 30 days of your eligibility date, choosing your options, your coverage tier and the dependents you cover. Coverage begins on the first day of the month following the date of hire, including when your date of hire is itself the first day of a month.</w:t>
      </w:r>
    </w:p>
    <w:p>
      <w:pPr>
        <w:pStyle w:val="BodyText"/>
      </w:pPr>
      <w:r>
        <w:t xml:space="preserve">If you make no election within 30 days, you receive the coverages the Company provides without an election, and you may next elect medical, dental and vision coverage and a health flexible spending account at open enrollment or after a qualifying life event.</w:t>
      </w:r>
    </w:p>
    <w:bookmarkEnd w:id="12"/>
    <w:bookmarkStart w:id="13" w:name="open-enrollment-for-the-next-plan-year"/>
    <w:p>
      <w:pPr>
        <w:pStyle w:val="Heading2"/>
      </w:pPr>
      <w:r>
        <w:t xml:space="preserve">4. Open Enrollment for the Next Plan Year</w:t>
      </w:r>
    </w:p>
    <w:p>
      <w:pPr>
        <w:pStyle w:val="FirstParagraph"/>
      </w:pPr>
      <w:r>
        <w:t xml:space="preserve">Open enrollment is held each November. The next open enrollment runs from 2026-11-02 to 2026-11-13, for coverage beginning on the first day of the next plan year.</w:t>
      </w:r>
    </w:p>
    <w:p>
      <w:pPr>
        <w:pStyle w:val="BodyText"/>
      </w:pPr>
      <w:r>
        <w:t xml:space="preserve">During open enrollment you may enroll in a plan, change your option or coverage tier, add or remove a dependent, or waive coverage, all for the next plan year. If you make no change, your medical, dental and vision elections continue into the next plan year. Your health flexible spending account election does not continue, and you elect it again at each open enrollment if you want the account.</w:t>
      </w:r>
    </w:p>
    <w:bookmarkEnd w:id="13"/>
    <w:bookmarkStart w:id="14" w:name="qualifying-life-events"/>
    <w:p>
      <w:pPr>
        <w:pStyle w:val="Heading2"/>
      </w:pPr>
      <w:r>
        <w:t xml:space="preserve">5. Qualifying Life Events</w:t>
      </w:r>
    </w:p>
    <w:p>
      <w:pPr>
        <w:pStyle w:val="FirstParagraph"/>
      </w:pPr>
      <w:r>
        <w:t xml:space="preserve">Outside open enrollment, you may change an election only after a qualifying life event. The qualifying life events are marriage, divorce, birth or adoption, and loss of other coverage. You report the event to People Operations in the HRIS within 30 days of the event, with the documentation the table lists, and you may make only the changes the event allows. The date a change takes effect is set out in the summary plan description of the plan you 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Report within</w:t>
            </w:r>
          </w:p>
        </w:tc>
        <w:tc>
          <w:tcPr/>
          <w:p>
            <w:pPr>
              <w:pStyle w:val="Compact"/>
            </w:pPr>
            <w:r>
              <w:t xml:space="preserve">Documentation</w:t>
            </w:r>
          </w:p>
        </w:tc>
      </w:tr>
      <w:tr>
        <w:tc>
          <w:tcPr/>
          <w:p>
            <w:pPr>
              <w:pStyle w:val="Compact"/>
            </w:pPr>
            <w:r>
              <w:t xml:space="preserve">Marriage</w:t>
            </w:r>
          </w:p>
        </w:tc>
        <w:tc>
          <w:tcPr/>
          <w:p>
            <w:pPr>
              <w:pStyle w:val="Compact"/>
            </w:pPr>
            <w:r>
              <w:t xml:space="preserve">30 days of the marriage</w:t>
            </w:r>
          </w:p>
        </w:tc>
        <w:tc>
          <w:tcPr/>
          <w:p>
            <w:pPr>
              <w:pStyle w:val="Compact"/>
            </w:pPr>
            <w:r>
              <w:t xml:space="preserve">marriage certificate</w:t>
            </w:r>
          </w:p>
        </w:tc>
      </w:tr>
      <w:tr>
        <w:tc>
          <w:tcPr/>
          <w:p>
            <w:pPr>
              <w:pStyle w:val="Compact"/>
            </w:pPr>
            <w:r>
              <w:t xml:space="preserve">Divorce</w:t>
            </w:r>
          </w:p>
        </w:tc>
        <w:tc>
          <w:tcPr/>
          <w:p>
            <w:pPr>
              <w:pStyle w:val="Compact"/>
            </w:pPr>
            <w:r>
              <w:t xml:space="preserve">30 days of the divorce</w:t>
            </w:r>
          </w:p>
        </w:tc>
        <w:tc>
          <w:tcPr/>
          <w:p>
            <w:pPr>
              <w:pStyle w:val="Compact"/>
            </w:pPr>
            <w:r>
              <w:t xml:space="preserve">None</w:t>
            </w:r>
          </w:p>
        </w:tc>
      </w:tr>
      <w:tr>
        <w:tc>
          <w:tcPr/>
          <w:p>
            <w:pPr>
              <w:pStyle w:val="Compact"/>
            </w:pPr>
            <w:r>
              <w:t xml:space="preserve">Birth or adoption</w:t>
            </w:r>
          </w:p>
        </w:tc>
        <w:tc>
          <w:tcPr/>
          <w:p>
            <w:pPr>
              <w:pStyle w:val="Compact"/>
            </w:pPr>
            <w:r>
              <w:t xml:space="preserve">30 days of the birth or placement</w:t>
            </w:r>
          </w:p>
        </w:tc>
        <w:tc>
          <w:tcPr/>
          <w:p>
            <w:pPr>
              <w:pStyle w:val="Compact"/>
            </w:pPr>
            <w:r>
              <w:t xml:space="preserve">birth certificate; adoption or placement record</w:t>
            </w:r>
          </w:p>
        </w:tc>
      </w:tr>
      <w:tr>
        <w:tc>
          <w:tcPr/>
          <w:p>
            <w:pPr>
              <w:pStyle w:val="Compact"/>
            </w:pPr>
            <w:r>
              <w:t xml:space="preserve">Loss of other coverage</w:t>
            </w:r>
          </w:p>
        </w:tc>
        <w:tc>
          <w:tcPr/>
          <w:p>
            <w:pPr>
              <w:pStyle w:val="Compact"/>
            </w:pPr>
            <w:r>
              <w:t xml:space="preserve">30 days of the date the other coverage ends</w:t>
            </w:r>
          </w:p>
        </w:tc>
        <w:tc>
          <w:tcPr/>
          <w:p>
            <w:pPr>
              <w:pStyle w:val="Compact"/>
            </w:pPr>
            <w:r>
              <w:t xml:space="preserve">None for the event; a document for each dependent you add (section 6)</w:t>
            </w:r>
          </w:p>
        </w:tc>
      </w:tr>
    </w:tbl>
    <w:p>
      <w:pPr>
        <w:pStyle w:val="BodyText"/>
      </w:pPr>
      <w:r>
        <w:t xml:space="preserve">An event you report after its deadline allows no change until the next open enrollment.</w:t>
      </w:r>
    </w:p>
    <w:bookmarkEnd w:id="14"/>
    <w:bookmarkStart w:id="15" w:name="dependent-documentation-and-verification"/>
    <w:p>
      <w:pPr>
        <w:pStyle w:val="Heading2"/>
      </w:pPr>
      <w:r>
        <w:t xml:space="preserve">6. Dependent Documentation and Verification</w:t>
      </w:r>
    </w:p>
    <w:p>
      <w:pPr>
        <w:pStyle w:val="FirstParagraph"/>
      </w:pPr>
      <w:r>
        <w:t xml:space="preserve">When you add a dependent, you upload one document from this list in the HRIS: a marriage certificate, a birth certificate, or an adoption or placement record. People Operations verifies each document against the dependent you add.</w:t>
      </w:r>
    </w:p>
    <w:p>
      <w:pPr>
        <w:pStyle w:val="BodyText"/>
      </w:pPr>
      <w:r>
        <w:t xml:space="preserve">A document that cannot be verified is referred to a People Operations reviewer, and coverage for that dependent waits for that person’s decision. Your own coverage continues while the reviewer decides.</w:t>
      </w:r>
    </w:p>
    <w:bookmarkEnd w:id="15"/>
    <w:bookmarkStart w:id="16" w:name="summary-plan-descriptions"/>
    <w:p>
      <w:pPr>
        <w:pStyle w:val="Heading2"/>
      </w:pPr>
      <w:r>
        <w:t xml:space="preserve">7. Summary Plan Descriptions</w:t>
      </w:r>
    </w:p>
    <w:p>
      <w:pPr>
        <w:pStyle w:val="FirstParagraph"/>
      </w:pPr>
      <w:r>
        <w:t xml:space="preserve">The Company furnishes the summary plan descriptions for the plans you are eligible for within 90 calendar days of your date of hire. They are furnished in the HRIS, and People Operations will provide a paper copy on request at no charge to you.</w:t>
      </w:r>
    </w:p>
    <w:bookmarkEnd w:id="16"/>
    <w:bookmarkStart w:id="17" w:name="plan-administration"/>
    <w:p>
      <w:pPr>
        <w:pStyle w:val="Heading2"/>
      </w:pPr>
      <w:r>
        <w:t xml:space="preserve">8. Plan Administration</w:t>
      </w:r>
    </w:p>
    <w:p>
      <w:pPr>
        <w:pStyle w:val="FirstParagraph"/>
      </w:pPr>
      <w:r>
        <w:t xml:space="preserve">Atticus Dundee Inc. is the plan administrator of every plan this calendar applies to. The calendar is reissued for each plan year.</w:t>
      </w:r>
    </w:p>
    <w:p>
      <w:pPr>
        <w:pStyle w:val="BodyText"/>
      </w:pPr>
      <w:r>
        <w:t xml:space="preserve">Aviso: Este documento contiene información importante sobre sus beneficios en Atticus Dundee Inc. Si necesita ayuda en español, escriba a peopleops@atticusdundee.example.</w:t>
      </w:r>
    </w:p>
    <w:bookmarkEnd w:id="17"/>
    <w:bookmarkStart w:id="18"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2024-07-01</w:t>
            </w:r>
          </w:p>
        </w:tc>
        <w:tc>
          <w:tcPr/>
          <w:p>
            <w:pPr>
              <w:pStyle w:val="Compact"/>
            </w:pPr>
            <w:r>
              <w:t xml:space="preserve">Enrollment calendar issued for the benefits plan library.</w:t>
            </w:r>
          </w:p>
        </w:tc>
        <w:tc>
          <w:tcPr/>
          <w:p>
            <w:pPr>
              <w:pStyle w:val="Compact"/>
            </w:pPr>
            <w:r>
              <w:t xml:space="preserve">Priya Raghunathan</w:t>
            </w:r>
          </w:p>
        </w:tc>
      </w:tr>
      <w:tr>
        <w:tc>
          <w:tcPr/>
          <w:p>
            <w:pPr>
              <w:pStyle w:val="Compact"/>
            </w:pPr>
            <w:r>
              <w:t xml:space="preserve">2.0</w:t>
            </w:r>
          </w:p>
        </w:tc>
        <w:tc>
          <w:tcPr/>
          <w:p>
            <w:pPr>
              <w:pStyle w:val="Compact"/>
            </w:pPr>
            <w:r>
              <w:t xml:space="preserve">2025-01-01</w:t>
            </w:r>
          </w:p>
        </w:tc>
        <w:tc>
          <w:tcPr/>
          <w:p>
            <w:pPr>
              <w:pStyle w:val="Compact"/>
            </w:pPr>
            <w:r>
              <w:t xml:space="preserve">Reissued for the 2025 plan year.</w:t>
            </w:r>
          </w:p>
        </w:tc>
        <w:tc>
          <w:tcPr/>
          <w:p>
            <w:pPr>
              <w:pStyle w:val="Compact"/>
            </w:pPr>
            <w:r>
              <w:t xml:space="preserve">Priya Raghunathan</w:t>
            </w:r>
          </w:p>
        </w:tc>
      </w:tr>
      <w:tr>
        <w:tc>
          <w:tcPr/>
          <w:p>
            <w:pPr>
              <w:pStyle w:val="Compact"/>
            </w:pPr>
            <w:r>
              <w:t xml:space="preserve">3.0</w:t>
            </w:r>
          </w:p>
        </w:tc>
        <w:tc>
          <w:tcPr/>
          <w:p>
            <w:pPr>
              <w:pStyle w:val="Compact"/>
            </w:pPr>
            <w:r>
              <w:t xml:space="preserve">2026-01-01</w:t>
            </w:r>
          </w:p>
        </w:tc>
        <w:tc>
          <w:tcPr/>
          <w:p>
            <w:pPr>
              <w:pStyle w:val="Compact"/>
            </w:pPr>
            <w:r>
              <w:t xml:space="preserve">Reissued for the 2026 plan year; published the next open enrollment window and restated the dependent documentation list.</w:t>
            </w:r>
          </w:p>
        </w:tc>
        <w:tc>
          <w:tcPr/>
          <w:p>
            <w:pPr>
              <w:pStyle w:val="Compact"/>
            </w:pPr>
            <w:r>
              <w:t xml:space="preserve">Priya Raghunathan</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2026-09-23T19:02:03Z</dcterms:created>
  <dcterms:modified xsi:type="dcterms:W3CDTF">2026-09-23T19:02:03Z</dcterms:modified>
</cp:coreProperties>
</file>

<file path=docProps/custom.xml><?xml version="1.0" encoding="utf-8"?>
<Properties xmlns="http://schemas.openxmlformats.org/officeDocument/2006/custom-properties" xmlns:vt="http://schemas.openxmlformats.org/officeDocument/2006/docPropsVTypes"/>
</file>