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ta-retention-policy"/>
    <w:p>
      <w:pPr>
        <w:pStyle w:val="Heading1"/>
      </w:pPr>
      <w:r>
        <w:t xml:space="preserve">Data Retention Policy</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ADI-POL-001</w:t>
            </w:r>
          </w:p>
        </w:tc>
      </w:tr>
      <w:tr>
        <w:tc>
          <w:tcPr/>
          <w:p>
            <w:pPr>
              <w:pStyle w:val="Compact"/>
            </w:pPr>
            <w:r>
              <w:t xml:space="preserve">Version</w:t>
            </w:r>
          </w:p>
        </w:tc>
        <w:tc>
          <w:tcPr/>
          <w:p>
            <w:pPr>
              <w:pStyle w:val="Compact"/>
            </w:pPr>
            <w:r>
              <w:t xml:space="preserve">3.1</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Priya Raghunathan, General Counsel and Corporate Secretary</w:t>
            </w:r>
          </w:p>
        </w:tc>
      </w:tr>
      <w:tr>
        <w:tc>
          <w:tcPr/>
          <w:p>
            <w:pPr>
              <w:pStyle w:val="Compact"/>
            </w:pPr>
            <w:r>
              <w:t xml:space="preserve">Approver</w:t>
            </w:r>
          </w:p>
        </w:tc>
        <w:tc>
          <w:tcPr/>
          <w:p>
            <w:pPr>
              <w:pStyle w:val="Compact"/>
            </w:pPr>
            <w:r>
              <w:t xml:space="preserve">Audit and Risk Committee of the Board of Directors</w:t>
            </w:r>
          </w:p>
        </w:tc>
      </w:tr>
      <w:tr>
        <w:tc>
          <w:tcPr/>
          <w:p>
            <w:pPr>
              <w:pStyle w:val="Compact"/>
            </w:pPr>
            <w:r>
              <w:t xml:space="preserve">Effective Date</w:t>
            </w:r>
          </w:p>
        </w:tc>
        <w:tc>
          <w:tcPr/>
          <w:p>
            <w:pPr>
              <w:pStyle w:val="Compact"/>
            </w:pPr>
            <w:r>
              <w:t xml:space="preserve">2025-06-01</w:t>
            </w:r>
          </w:p>
        </w:tc>
      </w:tr>
      <w:tr>
        <w:tc>
          <w:tcPr/>
          <w:p>
            <w:pPr>
              <w:pStyle w:val="Compact"/>
            </w:pPr>
            <w:r>
              <w:t xml:space="preserve">Last Reviewed</w:t>
            </w:r>
          </w:p>
        </w:tc>
        <w:tc>
          <w:tcPr/>
          <w:p>
            <w:pPr>
              <w:pStyle w:val="Compact"/>
            </w:pPr>
            <w:r>
              <w:t xml:space="preserve">2026-05-18</w:t>
            </w:r>
          </w:p>
        </w:tc>
      </w:tr>
      <w:tr>
        <w:tc>
          <w:tcPr/>
          <w:p>
            <w:pPr>
              <w:pStyle w:val="Compact"/>
            </w:pPr>
            <w:r>
              <w:t xml:space="preserve">Next Review Due</w:t>
            </w:r>
          </w:p>
        </w:tc>
        <w:tc>
          <w:tcPr/>
          <w:p>
            <w:pPr>
              <w:pStyle w:val="Compact"/>
            </w:pPr>
            <w:r>
              <w:t xml:space="preserve">2027-05-18</w:t>
            </w:r>
          </w:p>
        </w:tc>
      </w:tr>
      <w:tr>
        <w:tc>
          <w:tcPr/>
          <w:p>
            <w:pPr>
              <w:pStyle w:val="Compact"/>
            </w:pPr>
            <w:r>
              <w:t xml:space="preserve">Supersedes</w:t>
            </w:r>
          </w:p>
        </w:tc>
        <w:tc>
          <w:tcPr/>
          <w:p>
            <w:pPr>
              <w:pStyle w:val="Compact"/>
            </w:pPr>
            <w:r>
              <w:t xml:space="preserve">ADI-POL-001 v3.0</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Atticus Dundee Inc. (</w:t>
      </w:r>
      <w:r>
        <w:t xml:space="preserve">“Atticus Dundee”</w:t>
      </w:r>
      <w:r>
        <w:t xml:space="preserve"> </w:t>
      </w:r>
      <w:r>
        <w:t xml:space="preserve">or the</w:t>
      </w:r>
      <w:r>
        <w:t xml:space="preserve"> </w:t>
      </w:r>
      <w:r>
        <w:t xml:space="preserve">“Company”</w:t>
      </w:r>
      <w:r>
        <w:t xml:space="preserve">) creates and receives records in the ordinary course of business. This policy establishes how long those records are kept, where they are kept, who is accountable for them, and how they are disposed of when the retention period ends.</w:t>
      </w:r>
    </w:p>
    <w:p>
      <w:pPr>
        <w:pStyle w:val="BodyText"/>
      </w:pPr>
      <w:r>
        <w:t xml:space="preserve">The policy exists for three reasons. First, the Company must retain certain records for periods fixed by statute, regulation, or contract. Second, records that are kept beyond their useful life create cost, security exposure, and discovery burden. Third, disposal that is inconsistent or undocumented is not defensible; disposal that follows a published schedule, applied uniformly and suspended for legal hold, is.</w:t>
      </w:r>
    </w:p>
    <w:bookmarkEnd w:id="10"/>
    <w:bookmarkStart w:id="13" w:name="scope"/>
    <w:p>
      <w:pPr>
        <w:pStyle w:val="Heading2"/>
      </w:pPr>
      <w:r>
        <w:t xml:space="preserve">2. Scope</w:t>
      </w:r>
    </w:p>
    <w:bookmarkStart w:id="11" w:name="who-and-what-this-covers"/>
    <w:p>
      <w:pPr>
        <w:pStyle w:val="Heading3"/>
      </w:pPr>
      <w:r>
        <w:t xml:space="preserve">2.1 Who and What This Covers</w:t>
      </w:r>
    </w:p>
    <w:p>
      <w:pPr>
        <w:pStyle w:val="FirstParagraph"/>
      </w:pPr>
      <w:r>
        <w:t xml:space="preserve">This policy applies to all employees, officers, directors, contractors, and temporary workers of Atticus Dundee and its subsidiaries, and to all records in the Company’s possession or control regardless of medium. It covers structured data in Company applications, unstructured files in collaboration and storage platforms, email and messaging, physical documents, and records held on the Company’s behalf by third-party processors.</w:t>
      </w:r>
    </w:p>
    <w:p>
      <w:pPr>
        <w:pStyle w:val="BodyText"/>
      </w:pPr>
      <w:r>
        <w:t xml:space="preserve">Personal materials of no business value are outside the scope of this policy but remain subject to ADI-POL-003 (Acceptable Use Policy).</w:t>
      </w:r>
    </w:p>
    <w:bookmarkEnd w:id="11"/>
    <w:bookmarkStart w:id="12" w:name="definitions"/>
    <w:p>
      <w:pPr>
        <w:pStyle w:val="Heading3"/>
      </w:pPr>
      <w:r>
        <w:t xml:space="preserve">2.2 Definitions</w:t>
      </w:r>
    </w:p>
    <w:p>
      <w:pPr>
        <w:pStyle w:val="FirstParagraph"/>
      </w:pPr>
      <w:r>
        <w:rPr>
          <w:b/>
          <w:bCs/>
        </w:rPr>
        <w:t xml:space="preserve">Record.</w:t>
      </w:r>
      <w:r>
        <w:t xml:space="preserve"> </w:t>
      </w:r>
      <w:r>
        <w:t xml:space="preserve">Information, in any form, created or received in the transaction of Company business and retained as evidence of that business.</w:t>
      </w:r>
    </w:p>
    <w:p>
      <w:pPr>
        <w:pStyle w:val="BodyText"/>
      </w:pPr>
      <w:r>
        <w:rPr>
          <w:b/>
          <w:bCs/>
        </w:rPr>
        <w:t xml:space="preserve">Transitory material.</w:t>
      </w:r>
      <w:r>
        <w:t xml:space="preserve"> </w:t>
      </w:r>
      <w:r>
        <w:t xml:space="preserve">Drafts, duplicates, convenience copies, and working notes that have no continuing business, legal, or historical value. Transitory material may be deleted at any time unless subject to a legal hold.</w:t>
      </w:r>
    </w:p>
    <w:p>
      <w:pPr>
        <w:pStyle w:val="BodyText"/>
      </w:pPr>
      <w:r>
        <w:rPr>
          <w:b/>
          <w:bCs/>
        </w:rPr>
        <w:t xml:space="preserve">System of record.</w:t>
      </w:r>
      <w:r>
        <w:t xml:space="preserve"> </w:t>
      </w:r>
      <w:r>
        <w:t xml:space="preserve">The single authoritative repository designated for a record category. Copies held outside the system of record are transitory unless designated otherwise by the Legal Department.</w:t>
      </w:r>
    </w:p>
    <w:p>
      <w:pPr>
        <w:pStyle w:val="BodyText"/>
      </w:pPr>
      <w:r>
        <w:rPr>
          <w:b/>
          <w:bCs/>
        </w:rPr>
        <w:t xml:space="preserve">Retention trigger.</w:t>
      </w:r>
      <w:r>
        <w:t xml:space="preserve"> </w:t>
      </w:r>
      <w:r>
        <w:t xml:space="preserve">The event that starts the retention clock, such as separation of employment, contract expiration, or the close of a fiscal year.</w:t>
      </w:r>
    </w:p>
    <w:p>
      <w:pPr>
        <w:pStyle w:val="BodyText"/>
      </w:pPr>
      <w:r>
        <w:rPr>
          <w:b/>
          <w:bCs/>
        </w:rPr>
        <w:t xml:space="preserve">Legal hold.</w:t>
      </w:r>
      <w:r>
        <w:t xml:space="preserve"> </w:t>
      </w:r>
      <w:r>
        <w:t xml:space="preserve">A written instruction issued by the Legal Department suspending disposal of specified records because litigation, investigation, audit, or regulatory inquiry is pending or reasonably anticipated.</w:t>
      </w:r>
    </w:p>
    <w:p>
      <w:pPr>
        <w:pStyle w:val="BodyText"/>
      </w:pPr>
      <w:r>
        <w:rPr>
          <w:b/>
          <w:bCs/>
        </w:rPr>
        <w:t xml:space="preserve">Defensible disposal.</w:t>
      </w:r>
      <w:r>
        <w:t xml:space="preserve"> </w:t>
      </w:r>
      <w:r>
        <w:t xml:space="preserve">Destruction of records at the end of the retention period, carried out under a documented, repeatable process, with an accompanying certificate of destruction.</w:t>
      </w:r>
    </w:p>
    <w:bookmarkEnd w:id="12"/>
    <w:bookmarkEnd w:id="13"/>
    <w:bookmarkStart w:id="14" w:name="retention-periods"/>
    <w:p>
      <w:pPr>
        <w:pStyle w:val="Heading2"/>
      </w:pPr>
      <w:r>
        <w:t xml:space="preserve">3. Retention Periods</w:t>
      </w:r>
    </w:p>
    <w:p>
      <w:pPr>
        <w:pStyle w:val="FirstParagraph"/>
      </w:pPr>
      <w:r>
        <w:t xml:space="preserve">Records are retained for the periods below. Periods are minimums. A record may not be destroyed before its period elapses, and should not be retained materially beyond it absent a legal hold or an approved exception under Section 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Record Category</w:t>
            </w:r>
          </w:p>
        </w:tc>
        <w:tc>
          <w:tcPr/>
          <w:p>
            <w:pPr>
              <w:pStyle w:val="Compact"/>
            </w:pPr>
            <w:r>
              <w:t xml:space="preserve">Examples</w:t>
            </w:r>
          </w:p>
        </w:tc>
        <w:tc>
          <w:tcPr/>
          <w:p>
            <w:pPr>
              <w:pStyle w:val="Compact"/>
            </w:pPr>
            <w:r>
              <w:t xml:space="preserve">Retention Period</w:t>
            </w:r>
          </w:p>
        </w:tc>
        <w:tc>
          <w:tcPr/>
          <w:p>
            <w:pPr>
              <w:pStyle w:val="Compact"/>
            </w:pPr>
            <w:r>
              <w:t xml:space="preserve">Retention Trigger</w:t>
            </w:r>
          </w:p>
        </w:tc>
        <w:tc>
          <w:tcPr/>
          <w:p>
            <w:pPr>
              <w:pStyle w:val="Compact"/>
            </w:pPr>
            <w:r>
              <w:t xml:space="preserve">System of Record</w:t>
            </w:r>
          </w:p>
        </w:tc>
      </w:tr>
      <w:tr>
        <w:tc>
          <w:tcPr/>
          <w:p>
            <w:pPr>
              <w:pStyle w:val="Compact"/>
            </w:pPr>
            <w:r>
              <w:t xml:space="preserve">Corporate governance records</w:t>
            </w:r>
          </w:p>
        </w:tc>
        <w:tc>
          <w:tcPr/>
          <w:p>
            <w:pPr>
              <w:pStyle w:val="Compact"/>
            </w:pPr>
            <w:r>
              <w:t xml:space="preserve">Charter, bylaws, board and committee minutes, stock ledger, equity grants</w:t>
            </w:r>
          </w:p>
        </w:tc>
        <w:tc>
          <w:tcPr/>
          <w:p>
            <w:pPr>
              <w:pStyle w:val="Compact"/>
            </w:pPr>
            <w:r>
              <w:t xml:space="preserve">Permanent</w:t>
            </w:r>
          </w:p>
        </w:tc>
        <w:tc>
          <w:tcPr/>
          <w:p>
            <w:pPr>
              <w:pStyle w:val="Compact"/>
            </w:pPr>
            <w:r>
              <w:t xml:space="preserve">Creation</w:t>
            </w:r>
          </w:p>
        </w:tc>
        <w:tc>
          <w:tcPr/>
          <w:p>
            <w:pPr>
              <w:pStyle w:val="Compact"/>
            </w:pPr>
            <w:r>
              <w:t xml:space="preserve">Corporate Secretary repository</w:t>
            </w:r>
          </w:p>
        </w:tc>
      </w:tr>
      <w:tr>
        <w:tc>
          <w:tcPr/>
          <w:p>
            <w:pPr>
              <w:pStyle w:val="Compact"/>
            </w:pPr>
            <w:r>
              <w:t xml:space="preserve">Employment and personnel records</w:t>
            </w:r>
          </w:p>
        </w:tc>
        <w:tc>
          <w:tcPr/>
          <w:p>
            <w:pPr>
              <w:pStyle w:val="Compact"/>
            </w:pPr>
            <w:r>
              <w:t xml:space="preserve">Offer letters, performance reviews, disciplinary records, training records, personnel files</w:t>
            </w:r>
          </w:p>
        </w:tc>
        <w:tc>
          <w:tcPr/>
          <w:p>
            <w:pPr>
              <w:pStyle w:val="Compact"/>
            </w:pPr>
            <w:r>
              <w:t xml:space="preserve">7 years after separation</w:t>
            </w:r>
          </w:p>
        </w:tc>
        <w:tc>
          <w:tcPr/>
          <w:p>
            <w:pPr>
              <w:pStyle w:val="Compact"/>
            </w:pPr>
            <w:r>
              <w:t xml:space="preserve">Separation of employment</w:t>
            </w:r>
          </w:p>
        </w:tc>
        <w:tc>
          <w:tcPr/>
          <w:p>
            <w:pPr>
              <w:pStyle w:val="Compact"/>
            </w:pPr>
            <w:r>
              <w:t xml:space="preserve">HRIS</w:t>
            </w:r>
          </w:p>
        </w:tc>
      </w:tr>
      <w:tr>
        <w:tc>
          <w:tcPr/>
          <w:p>
            <w:pPr>
              <w:pStyle w:val="Compact"/>
            </w:pPr>
            <w:r>
              <w:t xml:space="preserve">Benefit plan, pension, and payroll-tax records</w:t>
            </w:r>
          </w:p>
        </w:tc>
        <w:tc>
          <w:tcPr/>
          <w:p>
            <w:pPr>
              <w:pStyle w:val="Compact"/>
            </w:pPr>
            <w:r>
              <w:t xml:space="preserve">Plan documents, Form 5500 filings, participant elections, payroll-tax returns and deposits</w:t>
            </w:r>
          </w:p>
        </w:tc>
        <w:tc>
          <w:tcPr/>
          <w:p>
            <w:pPr>
              <w:pStyle w:val="Compact"/>
            </w:pPr>
            <w:r>
              <w:t xml:space="preserve">10 years after the end of the plan year</w:t>
            </w:r>
          </w:p>
        </w:tc>
        <w:tc>
          <w:tcPr/>
          <w:p>
            <w:pPr>
              <w:pStyle w:val="Compact"/>
            </w:pPr>
            <w:r>
              <w:t xml:space="preserve">End of plan year</w:t>
            </w:r>
          </w:p>
        </w:tc>
        <w:tc>
          <w:tcPr/>
          <w:p>
            <w:pPr>
              <w:pStyle w:val="Compact"/>
            </w:pPr>
            <w:r>
              <w:t xml:space="preserve">HRIS and Payroll</w:t>
            </w:r>
          </w:p>
        </w:tc>
      </w:tr>
      <w:tr>
        <w:tc>
          <w:tcPr/>
          <w:p>
            <w:pPr>
              <w:pStyle w:val="Compact"/>
            </w:pPr>
            <w:r>
              <w:t xml:space="preserve">Financial and accounting records</w:t>
            </w:r>
          </w:p>
        </w:tc>
        <w:tc>
          <w:tcPr/>
          <w:p>
            <w:pPr>
              <w:pStyle w:val="Compact"/>
            </w:pPr>
            <w:r>
              <w:t xml:space="preserve">General ledger, accounts payable and accounts receivable detail, journal entries, tax workpapers, bank statements</w:t>
            </w:r>
          </w:p>
        </w:tc>
        <w:tc>
          <w:tcPr/>
          <w:p>
            <w:pPr>
              <w:pStyle w:val="Compact"/>
            </w:pPr>
            <w:r>
              <w:t xml:space="preserve">7 years</w:t>
            </w:r>
          </w:p>
        </w:tc>
        <w:tc>
          <w:tcPr/>
          <w:p>
            <w:pPr>
              <w:pStyle w:val="Compact"/>
            </w:pPr>
            <w:r>
              <w:t xml:space="preserve">Close of fiscal year</w:t>
            </w:r>
          </w:p>
        </w:tc>
        <w:tc>
          <w:tcPr/>
          <w:p>
            <w:pPr>
              <w:pStyle w:val="Compact"/>
            </w:pPr>
            <w:r>
              <w:t xml:space="preserve">ERP</w:t>
            </w:r>
          </w:p>
        </w:tc>
      </w:tr>
      <w:tr>
        <w:tc>
          <w:tcPr/>
          <w:p>
            <w:pPr>
              <w:pStyle w:val="Compact"/>
            </w:pPr>
            <w:r>
              <w:t xml:space="preserve">Client and customer contract records</w:t>
            </w:r>
          </w:p>
        </w:tc>
        <w:tc>
          <w:tcPr/>
          <w:p>
            <w:pPr>
              <w:pStyle w:val="Compact"/>
            </w:pPr>
            <w:r>
              <w:t xml:space="preserve">Executed agreements, order forms, statements of work, amendments, renewal correspondence</w:t>
            </w:r>
          </w:p>
        </w:tc>
        <w:tc>
          <w:tcPr/>
          <w:p>
            <w:pPr>
              <w:pStyle w:val="Compact"/>
            </w:pPr>
            <w:r>
              <w:t xml:space="preserve">5 years after expiration or termination of the contract</w:t>
            </w:r>
          </w:p>
        </w:tc>
        <w:tc>
          <w:tcPr/>
          <w:p>
            <w:pPr>
              <w:pStyle w:val="Compact"/>
            </w:pPr>
            <w:r>
              <w:t xml:space="preserve">Contract expiration or termination</w:t>
            </w:r>
          </w:p>
        </w:tc>
        <w:tc>
          <w:tcPr/>
          <w:p>
            <w:pPr>
              <w:pStyle w:val="Compact"/>
            </w:pPr>
            <w:r>
              <w:t xml:space="preserve">Contract lifecycle management system</w:t>
            </w:r>
          </w:p>
        </w:tc>
      </w:tr>
      <w:tr>
        <w:tc>
          <w:tcPr/>
          <w:p>
            <w:pPr>
              <w:pStyle w:val="Compact"/>
            </w:pPr>
            <w:r>
              <w:t xml:space="preserve">Client contract records subject to a regulated-services obligation</w:t>
            </w:r>
          </w:p>
        </w:tc>
        <w:tc>
          <w:tcPr/>
          <w:p>
            <w:pPr>
              <w:pStyle w:val="Compact"/>
            </w:pPr>
            <w:r>
              <w:t xml:space="preserve">Executed agreements and related delivery records for engagements performed under a regulated-services commitment</w:t>
            </w:r>
          </w:p>
        </w:tc>
        <w:tc>
          <w:tcPr/>
          <w:p>
            <w:pPr>
              <w:pStyle w:val="Compact"/>
            </w:pPr>
            <w:r>
              <w:t xml:space="preserve">6 years after expiration or termination</w:t>
            </w:r>
          </w:p>
        </w:tc>
        <w:tc>
          <w:tcPr/>
          <w:p>
            <w:pPr>
              <w:pStyle w:val="Compact"/>
            </w:pPr>
            <w:r>
              <w:t xml:space="preserve">Contract expiration or termination</w:t>
            </w:r>
          </w:p>
        </w:tc>
        <w:tc>
          <w:tcPr/>
          <w:p>
            <w:pPr>
              <w:pStyle w:val="Compact"/>
            </w:pPr>
            <w:r>
              <w:t xml:space="preserve">Contract lifecycle management system</w:t>
            </w:r>
          </w:p>
        </w:tc>
      </w:tr>
      <w:tr>
        <w:tc>
          <w:tcPr/>
          <w:p>
            <w:pPr>
              <w:pStyle w:val="Compact"/>
            </w:pPr>
            <w:r>
              <w:t xml:space="preserve">Vendor and procurement records</w:t>
            </w:r>
          </w:p>
        </w:tc>
        <w:tc>
          <w:tcPr/>
          <w:p>
            <w:pPr>
              <w:pStyle w:val="Compact"/>
            </w:pPr>
            <w:r>
              <w:t xml:space="preserve">Purchase orders, vendor agreements, diligence questionnaires, invoices</w:t>
            </w:r>
          </w:p>
        </w:tc>
        <w:tc>
          <w:tcPr/>
          <w:p>
            <w:pPr>
              <w:pStyle w:val="Compact"/>
            </w:pPr>
            <w:r>
              <w:t xml:space="preserve">7 years after final payment</w:t>
            </w:r>
          </w:p>
        </w:tc>
        <w:tc>
          <w:tcPr/>
          <w:p>
            <w:pPr>
              <w:pStyle w:val="Compact"/>
            </w:pPr>
            <w:r>
              <w:t xml:space="preserve">Final payment</w:t>
            </w:r>
          </w:p>
        </w:tc>
        <w:tc>
          <w:tcPr/>
          <w:p>
            <w:pPr>
              <w:pStyle w:val="Compact"/>
            </w:pPr>
            <w:r>
              <w:t xml:space="preserve">ERP and procurement platform</w:t>
            </w:r>
          </w:p>
        </w:tc>
      </w:tr>
      <w:tr>
        <w:tc>
          <w:tcPr/>
          <w:p>
            <w:pPr>
              <w:pStyle w:val="Compact"/>
            </w:pPr>
            <w:r>
              <w:t xml:space="preserve">Litigation and dispute files</w:t>
            </w:r>
          </w:p>
        </w:tc>
        <w:tc>
          <w:tcPr/>
          <w:p>
            <w:pPr>
              <w:pStyle w:val="Compact"/>
            </w:pPr>
            <w:r>
              <w:t xml:space="preserve">Pleadings, settlement agreements, counsel correspondence</w:t>
            </w:r>
          </w:p>
        </w:tc>
        <w:tc>
          <w:tcPr/>
          <w:p>
            <w:pPr>
              <w:pStyle w:val="Compact"/>
            </w:pPr>
            <w:r>
              <w:t xml:space="preserve">10 years after final resolution</w:t>
            </w:r>
          </w:p>
        </w:tc>
        <w:tc>
          <w:tcPr/>
          <w:p>
            <w:pPr>
              <w:pStyle w:val="Compact"/>
            </w:pPr>
            <w:r>
              <w:t xml:space="preserve">Final resolution</w:t>
            </w:r>
          </w:p>
        </w:tc>
        <w:tc>
          <w:tcPr/>
          <w:p>
            <w:pPr>
              <w:pStyle w:val="Compact"/>
            </w:pPr>
            <w:r>
              <w:t xml:space="preserve">Legal matter management system</w:t>
            </w:r>
          </w:p>
        </w:tc>
      </w:tr>
      <w:tr>
        <w:tc>
          <w:tcPr/>
          <w:p>
            <w:pPr>
              <w:pStyle w:val="Compact"/>
            </w:pPr>
            <w:r>
              <w:t xml:space="preserve">Intellectual property records</w:t>
            </w:r>
          </w:p>
        </w:tc>
        <w:tc>
          <w:tcPr/>
          <w:p>
            <w:pPr>
              <w:pStyle w:val="Compact"/>
            </w:pPr>
            <w:r>
              <w:t xml:space="preserve">Patent and trademark files, assignments, invention disclosures</w:t>
            </w:r>
          </w:p>
        </w:tc>
        <w:tc>
          <w:tcPr/>
          <w:p>
            <w:pPr>
              <w:pStyle w:val="Compact"/>
            </w:pPr>
            <w:r>
              <w:t xml:space="preserve">Life of the right plus 6 years</w:t>
            </w:r>
          </w:p>
        </w:tc>
        <w:tc>
          <w:tcPr/>
          <w:p>
            <w:pPr>
              <w:pStyle w:val="Compact"/>
            </w:pPr>
            <w:r>
              <w:t xml:space="preserve">Expiration or abandonment</w:t>
            </w:r>
          </w:p>
        </w:tc>
        <w:tc>
          <w:tcPr/>
          <w:p>
            <w:pPr>
              <w:pStyle w:val="Compact"/>
            </w:pPr>
            <w:r>
              <w:t xml:space="preserve">Legal matter management system</w:t>
            </w:r>
          </w:p>
        </w:tc>
      </w:tr>
      <w:tr>
        <w:tc>
          <w:tcPr/>
          <w:p>
            <w:pPr>
              <w:pStyle w:val="Compact"/>
            </w:pPr>
            <w:r>
              <w:t xml:space="preserve">Security and access logs</w:t>
            </w:r>
          </w:p>
        </w:tc>
        <w:tc>
          <w:tcPr/>
          <w:p>
            <w:pPr>
              <w:pStyle w:val="Compact"/>
            </w:pPr>
            <w:r>
              <w:t xml:space="preserve">Authentication logs, endpoint telemetry, alert records</w:t>
            </w:r>
          </w:p>
        </w:tc>
        <w:tc>
          <w:tcPr/>
          <w:p>
            <w:pPr>
              <w:pStyle w:val="Compact"/>
            </w:pPr>
            <w:r>
              <w:t xml:space="preserve">13 months</w:t>
            </w:r>
          </w:p>
        </w:tc>
        <w:tc>
          <w:tcPr/>
          <w:p>
            <w:pPr>
              <w:pStyle w:val="Compact"/>
            </w:pPr>
            <w:r>
              <w:t xml:space="preserve">Log creation</w:t>
            </w:r>
          </w:p>
        </w:tc>
        <w:tc>
          <w:tcPr/>
          <w:p>
            <w:pPr>
              <w:pStyle w:val="Compact"/>
            </w:pPr>
            <w:r>
              <w:t xml:space="preserve">Security data platform</w:t>
            </w:r>
          </w:p>
        </w:tc>
      </w:tr>
      <w:tr>
        <w:tc>
          <w:tcPr/>
          <w:p>
            <w:pPr>
              <w:pStyle w:val="Compact"/>
            </w:pPr>
            <w:r>
              <w:t xml:space="preserve">Marketing and campaign records</w:t>
            </w:r>
          </w:p>
        </w:tc>
        <w:tc>
          <w:tcPr/>
          <w:p>
            <w:pPr>
              <w:pStyle w:val="Compact"/>
            </w:pPr>
            <w:r>
              <w:t xml:space="preserve">Campaign assets, analytics extracts, event records</w:t>
            </w:r>
          </w:p>
        </w:tc>
        <w:tc>
          <w:tcPr/>
          <w:p>
            <w:pPr>
              <w:pStyle w:val="Compact"/>
            </w:pPr>
            <w:r>
              <w:t xml:space="preserve">3 years</w:t>
            </w:r>
          </w:p>
        </w:tc>
        <w:tc>
          <w:tcPr/>
          <w:p>
            <w:pPr>
              <w:pStyle w:val="Compact"/>
            </w:pPr>
            <w:r>
              <w:t xml:space="preserve">Campaign close</w:t>
            </w:r>
          </w:p>
        </w:tc>
        <w:tc>
          <w:tcPr/>
          <w:p>
            <w:pPr>
              <w:pStyle w:val="Compact"/>
            </w:pPr>
            <w:r>
              <w:t xml:space="preserve">Marketing platform</w:t>
            </w:r>
          </w:p>
        </w:tc>
      </w:tr>
    </w:tbl>
    <w:p>
      <w:pPr>
        <w:pStyle w:val="BodyText"/>
      </w:pPr>
      <w:r>
        <w:t xml:space="preserve">Where a record falls into more than one category, the longer applicable period governs.</w:t>
      </w:r>
    </w:p>
    <w:bookmarkEnd w:id="14"/>
    <w:bookmarkStart w:id="15" w:name="legal-hold"/>
    <w:p>
      <w:pPr>
        <w:pStyle w:val="Heading2"/>
      </w:pPr>
      <w:r>
        <w:t xml:space="preserve">4. Legal Hold</w:t>
      </w:r>
    </w:p>
    <w:p>
      <w:pPr>
        <w:pStyle w:val="FirstParagraph"/>
      </w:pPr>
      <w:r>
        <w:t xml:space="preserve">A legal hold overrides every retention period in Section 3 and every disposal schedule derived from it. When the Legal Department issues a hold, the custodians and system owners named in the hold notice must preserve all responsive records, including transitory material that would otherwise be deleted, until the Legal Department releases the hold in writing.</w:t>
      </w:r>
    </w:p>
    <w:p>
      <w:pPr>
        <w:pStyle w:val="BodyText"/>
      </w:pPr>
      <w:r>
        <w:t xml:space="preserve">The following rules apply without exception:</w:t>
      </w:r>
    </w:p>
    <w:p>
      <w:pPr>
        <w:pStyle w:val="Compact"/>
        <w:numPr>
          <w:ilvl w:val="0"/>
          <w:numId w:val="1001"/>
        </w:numPr>
      </w:pPr>
      <w:r>
        <w:t xml:space="preserve">No employee may delete, alter, or move a record covered by a hold notice.</w:t>
      </w:r>
    </w:p>
    <w:p>
      <w:pPr>
        <w:pStyle w:val="Compact"/>
        <w:numPr>
          <w:ilvl w:val="0"/>
          <w:numId w:val="1001"/>
        </w:numPr>
      </w:pPr>
      <w:r>
        <w:t xml:space="preserve">Automated deletion routines that touch held data must be suspended by the system owner within two business days of the notice.</w:t>
      </w:r>
    </w:p>
    <w:p>
      <w:pPr>
        <w:pStyle w:val="Compact"/>
        <w:numPr>
          <w:ilvl w:val="0"/>
          <w:numId w:val="1001"/>
        </w:numPr>
      </w:pPr>
      <w:r>
        <w:t xml:space="preserve">Custodians must acknowledge the hold notice within five business days.</w:t>
      </w:r>
    </w:p>
    <w:p>
      <w:pPr>
        <w:pStyle w:val="Compact"/>
        <w:numPr>
          <w:ilvl w:val="0"/>
          <w:numId w:val="1001"/>
        </w:numPr>
      </w:pPr>
      <w:r>
        <w:t xml:space="preserve">Any doubt about whether a record is covered is resolved in favor of preservation, and the question is directed to legal@atticusdundee.example.</w:t>
      </w:r>
    </w:p>
    <w:p>
      <w:pPr>
        <w:pStyle w:val="Compact"/>
        <w:numPr>
          <w:ilvl w:val="0"/>
          <w:numId w:val="1001"/>
        </w:numPr>
      </w:pPr>
      <w:r>
        <w:t xml:space="preserve">Only the Legal Department may release a hold. A hold does not expire on its own.</w:t>
      </w:r>
    </w:p>
    <w:bookmarkEnd w:id="15"/>
    <w:bookmarkStart w:id="16" w:name="systems-of-record-and-storage"/>
    <w:p>
      <w:pPr>
        <w:pStyle w:val="Heading2"/>
      </w:pPr>
      <w:r>
        <w:t xml:space="preserve">5. Systems of Record and Storage</w:t>
      </w:r>
    </w:p>
    <w:p>
      <w:pPr>
        <w:pStyle w:val="FirstParagraph"/>
      </w:pPr>
      <w:r>
        <w:t xml:space="preserve">Each record category has a designated system of record identified in Section 3. Records must be created and maintained in that system rather than in personal drives, local storage, or personal messaging accounts. Where an employee holds a working copy outside the system of record, that copy is transitory material and should be deleted once the work is complete.</w:t>
      </w:r>
    </w:p>
    <w:p>
      <w:pPr>
        <w:pStyle w:val="BodyText"/>
      </w:pPr>
      <w:r>
        <w:t xml:space="preserve">Third parties that process Company records must contractually commit to retention and deletion terms no less protective than this policy, and must certify deletion at the end of the engagement.</w:t>
      </w:r>
    </w:p>
    <w:bookmarkEnd w:id="16"/>
    <w:bookmarkStart w:id="17" w:name="disposal-and-defensible-deletion"/>
    <w:p>
      <w:pPr>
        <w:pStyle w:val="Heading2"/>
      </w:pPr>
      <w:r>
        <w:t xml:space="preserve">6. Disposal and Defensible Deletion</w:t>
      </w:r>
    </w:p>
    <w:p>
      <w:pPr>
        <w:pStyle w:val="FirstParagraph"/>
      </w:pPr>
      <w:r>
        <w:t xml:space="preserve">Disposal occurs on a scheduled basis and is documented.</w:t>
      </w:r>
    </w:p>
    <w:p>
      <w:pPr>
        <w:pStyle w:val="Compact"/>
        <w:numPr>
          <w:ilvl w:val="0"/>
          <w:numId w:val="1002"/>
        </w:numPr>
      </w:pPr>
      <w:r>
        <w:t xml:space="preserve">System owners run disposal at least annually for each category they administer, against a report produced from the retention schedule.</w:t>
      </w:r>
    </w:p>
    <w:p>
      <w:pPr>
        <w:pStyle w:val="Compact"/>
        <w:numPr>
          <w:ilvl w:val="0"/>
          <w:numId w:val="1002"/>
        </w:numPr>
      </w:pPr>
      <w:r>
        <w:t xml:space="preserve">Before disposal executes, the Legal Department screens the disposal list against active holds. Records matched to a hold are removed from the list.</w:t>
      </w:r>
    </w:p>
    <w:p>
      <w:pPr>
        <w:pStyle w:val="Compact"/>
        <w:numPr>
          <w:ilvl w:val="0"/>
          <w:numId w:val="1002"/>
        </w:numPr>
      </w:pPr>
      <w:r>
        <w:t xml:space="preserve">Electronic records are deleted so that they are not recoverable through ordinary means, including deletion from backups on the backup platform’s normal expiry cycle.</w:t>
      </w:r>
    </w:p>
    <w:p>
      <w:pPr>
        <w:pStyle w:val="Compact"/>
        <w:numPr>
          <w:ilvl w:val="0"/>
          <w:numId w:val="1002"/>
        </w:numPr>
      </w:pPr>
      <w:r>
        <w:t xml:space="preserve">Physical records are destroyed by cross-cut shredding or by an approved destruction vendor that issues a certificate of destruction.</w:t>
      </w:r>
    </w:p>
    <w:p>
      <w:pPr>
        <w:pStyle w:val="Compact"/>
        <w:numPr>
          <w:ilvl w:val="0"/>
          <w:numId w:val="1002"/>
        </w:numPr>
      </w:pPr>
      <w:r>
        <w:t xml:space="preserve">The system owner records the categories, volumes, and date of disposal and retains that certificate for seven years.</w:t>
      </w:r>
    </w:p>
    <w:p>
      <w:pPr>
        <w:pStyle w:val="FirstParagraph"/>
      </w:pPr>
      <w:r>
        <w:t xml:space="preserve">Ad hoc mass deletion outside this process is prohibited.</w:t>
      </w:r>
    </w:p>
    <w:bookmarkEnd w:id="17"/>
    <w:bookmarkStart w:id="18" w:name="roles-and-responsibilities"/>
    <w:p>
      <w:pPr>
        <w:pStyle w:val="Heading2"/>
      </w:pPr>
      <w:r>
        <w:t xml:space="preserve">7. Roles and Responsibilities</w:t>
      </w:r>
    </w:p>
    <w:p>
      <w:pPr>
        <w:pStyle w:val="FirstParagraph"/>
      </w:pPr>
      <w:r>
        <w:rPr>
          <w:b/>
          <w:bCs/>
        </w:rPr>
        <w:t xml:space="preserve">General Counsel.</w:t>
      </w:r>
      <w:r>
        <w:t xml:space="preserve"> </w:t>
      </w:r>
      <w:r>
        <w:t xml:space="preserve">Owns this policy, issues and releases legal holds, approves exceptions, and reports annually to the Audit and Risk Committee on retention compliance.</w:t>
      </w:r>
    </w:p>
    <w:p>
      <w:pPr>
        <w:pStyle w:val="BodyText"/>
      </w:pPr>
      <w:r>
        <w:rPr>
          <w:b/>
          <w:bCs/>
        </w:rPr>
        <w:t xml:space="preserve">Chief Information Security Officer.</w:t>
      </w:r>
      <w:r>
        <w:t xml:space="preserve"> </w:t>
      </w:r>
      <w:r>
        <w:t xml:space="preserve">Implements technical controls for retention, deletion, and log management, and maintains the inventory of systems in Section 5.</w:t>
      </w:r>
    </w:p>
    <w:p>
      <w:pPr>
        <w:pStyle w:val="BodyText"/>
      </w:pPr>
      <w:r>
        <w:rPr>
          <w:b/>
          <w:bCs/>
        </w:rPr>
        <w:t xml:space="preserve">Chief People Officer.</w:t>
      </w:r>
      <w:r>
        <w:t xml:space="preserve"> </w:t>
      </w:r>
      <w:r>
        <w:t xml:space="preserve">Administers employment, personnel, and benefit records in accordance with Section 3.</w:t>
      </w:r>
    </w:p>
    <w:p>
      <w:pPr>
        <w:pStyle w:val="BodyText"/>
      </w:pPr>
      <w:r>
        <w:rPr>
          <w:b/>
          <w:bCs/>
        </w:rPr>
        <w:t xml:space="preserve">Corporate Controller.</w:t>
      </w:r>
      <w:r>
        <w:t xml:space="preserve"> </w:t>
      </w:r>
      <w:r>
        <w:t xml:space="preserve">Administers financial, accounting, and tax records in accordance with Section 3.</w:t>
      </w:r>
    </w:p>
    <w:p>
      <w:pPr>
        <w:pStyle w:val="BodyText"/>
      </w:pPr>
      <w:r>
        <w:rPr>
          <w:b/>
          <w:bCs/>
        </w:rPr>
        <w:t xml:space="preserve">System owners.</w:t>
      </w:r>
      <w:r>
        <w:t xml:space="preserve"> </w:t>
      </w:r>
      <w:r>
        <w:t xml:space="preserve">Execute scheduled disposal, suspend automated deletion on hold, and maintain disposal certificates.</w:t>
      </w:r>
    </w:p>
    <w:p>
      <w:pPr>
        <w:pStyle w:val="BodyText"/>
      </w:pPr>
      <w:r>
        <w:rPr>
          <w:b/>
          <w:bCs/>
        </w:rPr>
        <w:t xml:space="preserve">All personnel.</w:t>
      </w:r>
      <w:r>
        <w:t xml:space="preserve"> </w:t>
      </w:r>
      <w:r>
        <w:t xml:space="preserve">File records in the designated system of record, delete transitory material, and comply with hold notices.</w:t>
      </w:r>
    </w:p>
    <w:bookmarkEnd w:id="18"/>
    <w:bookmarkStart w:id="19" w:name="exceptions"/>
    <w:p>
      <w:pPr>
        <w:pStyle w:val="Heading2"/>
      </w:pPr>
      <w:r>
        <w:t xml:space="preserve">8. Exceptions</w:t>
      </w:r>
    </w:p>
    <w:p>
      <w:pPr>
        <w:pStyle w:val="FirstParagraph"/>
      </w:pPr>
      <w:r>
        <w:t xml:space="preserve">Any deviation from this policy requires a written exception. Requests are submitted to policy-office@atticusdundee.example and must state the record category, the deviation sought, the business justification, the compensating controls, and a proposed expiry date. The General Counsel approves or denies exceptions. Exceptions are granted for a maximum of twelve months, are logged in the policy exception register, and lapse automatically on their expiry date unless renewed.</w:t>
      </w:r>
    </w:p>
    <w:p>
      <w:pPr>
        <w:pStyle w:val="BodyText"/>
      </w:pPr>
      <w:r>
        <w:t xml:space="preserve">No exception may be granted that conflicts with a legal hold or with a retention period fixed by statute or regulation.</w:t>
      </w:r>
    </w:p>
    <w:bookmarkEnd w:id="19"/>
    <w:bookmarkStart w:id="20" w:name="enforcement"/>
    <w:p>
      <w:pPr>
        <w:pStyle w:val="Heading2"/>
      </w:pPr>
      <w:r>
        <w:t xml:space="preserve">9. Enforcement</w:t>
      </w:r>
    </w:p>
    <w:p>
      <w:pPr>
        <w:pStyle w:val="FirstParagraph"/>
      </w:pPr>
      <w:r>
        <w:t xml:space="preserve">Failure to comply with this policy, including destruction of records subject to a hold, may result in disciplinary action up to and including termination of employment, and may expose the individual and the Company to legal sanction. Suspected violations should be reported to legal@atticusdundee.example.</w:t>
      </w:r>
    </w:p>
    <w:bookmarkEnd w:id="20"/>
    <w:bookmarkStart w:id="21" w:name="related-documents"/>
    <w:p>
      <w:pPr>
        <w:pStyle w:val="Heading2"/>
      </w:pPr>
      <w:r>
        <w:t xml:space="preserve">10. Related Documents</w:t>
      </w:r>
    </w:p>
    <w:p>
      <w:pPr>
        <w:pStyle w:val="Compact"/>
        <w:numPr>
          <w:ilvl w:val="0"/>
          <w:numId w:val="1003"/>
        </w:numPr>
      </w:pPr>
      <w:r>
        <w:t xml:space="preserve">ADI-POL-003, Acceptable Use Policy</w:t>
      </w:r>
    </w:p>
    <w:p>
      <w:pPr>
        <w:pStyle w:val="Compact"/>
        <w:numPr>
          <w:ilvl w:val="0"/>
          <w:numId w:val="1003"/>
        </w:numPr>
      </w:pPr>
      <w:r>
        <w:t xml:space="preserve">ADI-HR-001, Employee Handbook</w:t>
      </w:r>
    </w:p>
    <w:p>
      <w:pPr>
        <w:pStyle w:val="Compact"/>
        <w:numPr>
          <w:ilvl w:val="0"/>
          <w:numId w:val="1003"/>
        </w:numPr>
      </w:pPr>
      <w:r>
        <w:t xml:space="preserve">Legal Hold Notice Procedure (Legal Department intranet)</w:t>
      </w:r>
    </w:p>
    <w:p>
      <w:pPr>
        <w:pStyle w:val="Compact"/>
        <w:numPr>
          <w:ilvl w:val="0"/>
          <w:numId w:val="1003"/>
        </w:numPr>
      </w:pPr>
      <w:r>
        <w:t xml:space="preserve">Records Disposal Certificate template (Legal Department intranet)</w:t>
      </w:r>
    </w:p>
    <w:bookmarkEnd w:id="21"/>
    <w:bookmarkStart w:id="22"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2019-03-11</w:t>
            </w:r>
          </w:p>
        </w:tc>
        <w:tc>
          <w:tcPr/>
          <w:p>
            <w:pPr>
              <w:pStyle w:val="Compact"/>
            </w:pPr>
            <w:r>
              <w:t xml:space="preserve">Initial policy issued.</w:t>
            </w:r>
          </w:p>
        </w:tc>
        <w:tc>
          <w:tcPr/>
          <w:p>
            <w:pPr>
              <w:pStyle w:val="Compact"/>
            </w:pPr>
            <w:r>
              <w:t xml:space="preserve">Audit and Risk Committee</w:t>
            </w:r>
          </w:p>
        </w:tc>
      </w:tr>
      <w:tr>
        <w:tc>
          <w:tcPr/>
          <w:p>
            <w:pPr>
              <w:pStyle w:val="Compact"/>
            </w:pPr>
            <w:r>
              <w:t xml:space="preserve">2.0</w:t>
            </w:r>
          </w:p>
        </w:tc>
        <w:tc>
          <w:tcPr/>
          <w:p>
            <w:pPr>
              <w:pStyle w:val="Compact"/>
            </w:pPr>
            <w:r>
              <w:t xml:space="preserve">2021-08-02</w:t>
            </w:r>
          </w:p>
        </w:tc>
        <w:tc>
          <w:tcPr/>
          <w:p>
            <w:pPr>
              <w:pStyle w:val="Compact"/>
            </w:pPr>
            <w:r>
              <w:t xml:space="preserve">Added legal hold procedures and third-party processor obligations.</w:t>
            </w:r>
          </w:p>
        </w:tc>
        <w:tc>
          <w:tcPr/>
          <w:p>
            <w:pPr>
              <w:pStyle w:val="Compact"/>
            </w:pPr>
            <w:r>
              <w:t xml:space="preserve">Audit and Risk Committee</w:t>
            </w:r>
          </w:p>
        </w:tc>
      </w:tr>
      <w:tr>
        <w:tc>
          <w:tcPr/>
          <w:p>
            <w:pPr>
              <w:pStyle w:val="Compact"/>
            </w:pPr>
            <w:r>
              <w:t xml:space="preserve">3.0</w:t>
            </w:r>
          </w:p>
        </w:tc>
        <w:tc>
          <w:tcPr/>
          <w:p>
            <w:pPr>
              <w:pStyle w:val="Compact"/>
            </w:pPr>
            <w:r>
              <w:t xml:space="preserve">2023-10-09</w:t>
            </w:r>
          </w:p>
        </w:tc>
        <w:tc>
          <w:tcPr/>
          <w:p>
            <w:pPr>
              <w:pStyle w:val="Compact"/>
            </w:pPr>
            <w:r>
              <w:t xml:space="preserve">Restructured retention schedule by category; added systems of record and defensible disposal process.</w:t>
            </w:r>
          </w:p>
        </w:tc>
        <w:tc>
          <w:tcPr/>
          <w:p>
            <w:pPr>
              <w:pStyle w:val="Compact"/>
            </w:pPr>
            <w:r>
              <w:t xml:space="preserve">Audit and Risk Committee</w:t>
            </w:r>
          </w:p>
        </w:tc>
      </w:tr>
      <w:tr>
        <w:tc>
          <w:tcPr/>
          <w:p>
            <w:pPr>
              <w:pStyle w:val="Compact"/>
            </w:pPr>
            <w:r>
              <w:t xml:space="preserve">3.1</w:t>
            </w:r>
          </w:p>
        </w:tc>
        <w:tc>
          <w:tcPr/>
          <w:p>
            <w:pPr>
              <w:pStyle w:val="Compact"/>
            </w:pPr>
            <w:r>
              <w:t xml:space="preserve">2025-06-01</w:t>
            </w:r>
          </w:p>
        </w:tc>
        <w:tc>
          <w:tcPr/>
          <w:p>
            <w:pPr>
              <w:pStyle w:val="Compact"/>
            </w:pPr>
            <w:r>
              <w:t xml:space="preserve">Added regulated-services contract category; extended security log retention to 13 months; clarified exception expiry.</w:t>
            </w:r>
          </w:p>
        </w:tc>
        <w:tc>
          <w:tcPr/>
          <w:p>
            <w:pPr>
              <w:pStyle w:val="Compact"/>
            </w:pPr>
            <w:r>
              <w:t xml:space="preserve">Audit and Risk Committee</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2026-08-09T02:04:43Z</dcterms:created>
  <dcterms:modified xsi:type="dcterms:W3CDTF">2026-08-09T02:04:43Z</dcterms:modified>
</cp:coreProperties>
</file>

<file path=docProps/custom.xml><?xml version="1.0" encoding="utf-8"?>
<Properties xmlns="http://schemas.openxmlformats.org/officeDocument/2006/custom-properties" xmlns:vt="http://schemas.openxmlformats.org/officeDocument/2006/docPropsVTypes"/>
</file>