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e2cf381a9e4b438c8f7c2fcc416dc295f0a85d"/>
    <w:p>
      <w:pPr>
        <w:pStyle w:val="Heading1"/>
      </w:pPr>
      <w:r>
        <w:t xml:space="preserve">Accounting Policy Memorandum: Capitalization of Internal-Use Software (ASC 350-40), Revised</w: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ADI-FIN-002</w:t>
            </w:r>
          </w:p>
        </w:tc>
      </w:tr>
      <w:tr>
        <w:tc>
          <w:tcPr/>
          <w:p>
            <w:pPr>
              <w:pStyle w:val="Compact"/>
            </w:pPr>
            <w:r>
              <w:t xml:space="preserve">Version</w:t>
            </w:r>
          </w:p>
        </w:tc>
        <w:tc>
          <w:tcPr/>
          <w:p>
            <w:pPr>
              <w:pStyle w:val="Compact"/>
            </w:pPr>
            <w:r>
              <w:t xml:space="preserve">2.0</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Elias Vantongeren, Manager, Technical Accounting</w:t>
            </w:r>
          </w:p>
        </w:tc>
      </w:tr>
      <w:tr>
        <w:tc>
          <w:tcPr/>
          <w:p>
            <w:pPr>
              <w:pStyle w:val="Compact"/>
            </w:pPr>
            <w:r>
              <w:t xml:space="preserve">Approver</w:t>
            </w:r>
          </w:p>
        </w:tc>
        <w:tc>
          <w:tcPr/>
          <w:p>
            <w:pPr>
              <w:pStyle w:val="Compact"/>
            </w:pPr>
            <w:r>
              <w:t xml:space="preserve">Naomi Feuerbach, Corporate Controller; Daniel Osei-Bonsu, Chief Financial Officer</w:t>
            </w:r>
          </w:p>
        </w:tc>
      </w:tr>
      <w:tr>
        <w:tc>
          <w:tcPr/>
          <w:p>
            <w:pPr>
              <w:pStyle w:val="Compact"/>
            </w:pPr>
            <w:r>
              <w:t xml:space="preserve">Effective Date</w:t>
            </w:r>
          </w:p>
        </w:tc>
        <w:tc>
          <w:tcPr/>
          <w:p>
            <w:pPr>
              <w:pStyle w:val="Compact"/>
            </w:pPr>
            <w:r>
              <w:t xml:space="preserve">2026-01-20</w:t>
            </w:r>
          </w:p>
        </w:tc>
      </w:tr>
      <w:tr>
        <w:tc>
          <w:tcPr/>
          <w:p>
            <w:pPr>
              <w:pStyle w:val="Compact"/>
            </w:pPr>
            <w:r>
              <w:t xml:space="preserve">Last Reviewed</w:t>
            </w:r>
          </w:p>
        </w:tc>
        <w:tc>
          <w:tcPr/>
          <w:p>
            <w:pPr>
              <w:pStyle w:val="Compact"/>
            </w:pPr>
            <w:r>
              <w:t xml:space="preserve">2026-01-20</w:t>
            </w:r>
          </w:p>
        </w:tc>
      </w:tr>
      <w:tr>
        <w:tc>
          <w:tcPr/>
          <w:p>
            <w:pPr>
              <w:pStyle w:val="Compact"/>
            </w:pPr>
            <w:r>
              <w:t xml:space="preserve">Next Review Due</w:t>
            </w:r>
          </w:p>
        </w:tc>
        <w:tc>
          <w:tcPr/>
          <w:p>
            <w:pPr>
              <w:pStyle w:val="Compact"/>
            </w:pPr>
            <w:r>
              <w:t xml:space="preserve">2028-01-20</w:t>
            </w:r>
          </w:p>
        </w:tc>
      </w:tr>
      <w:tr>
        <w:tc>
          <w:tcPr/>
          <w:p>
            <w:pPr>
              <w:pStyle w:val="Compact"/>
            </w:pPr>
            <w:r>
              <w:t xml:space="preserve">Supersedes</w:t>
            </w:r>
          </w:p>
        </w:tc>
        <w:tc>
          <w:tcPr/>
          <w:p>
            <w:pPr>
              <w:pStyle w:val="Compact"/>
            </w:pPr>
            <w:r>
              <w:t xml:space="preserve">ADI-FIN-001</w:t>
            </w:r>
          </w:p>
        </w:tc>
      </w:tr>
      <w:tr>
        <w:tc>
          <w:tcPr/>
          <w:p>
            <w:pPr>
              <w:pStyle w:val="Compact"/>
            </w:pPr>
            <w:r>
              <w:t xml:space="preserve">Superseded By</w:t>
            </w:r>
          </w:p>
        </w:tc>
        <w:tc>
          <w:tcPr/>
          <w:p>
            <w:pPr>
              <w:pStyle w:val="Compact"/>
            </w:pPr>
            <w:r>
              <w:t xml:space="preserve">None</w:t>
            </w:r>
          </w:p>
        </w:tc>
      </w:tr>
    </w:tbl>
    <w:bookmarkEnd w:id="9"/>
    <w:bookmarkStart w:id="10" w:name="memorandum"/>
    <w:p>
      <w:pPr>
        <w:pStyle w:val="Heading2"/>
      </w:pPr>
      <w:r>
        <w:t xml:space="preserve">Memorandum</w:t>
      </w:r>
    </w:p>
    <w:p>
      <w:pPr>
        <w:pStyle w:val="FirstParagraph"/>
      </w:pPr>
      <w:r>
        <w:rPr>
          <w:b/>
          <w:bCs/>
        </w:rPr>
        <w:t xml:space="preserve">To:</w:t>
      </w:r>
      <w:r>
        <w:t xml:space="preserve"> </w:t>
      </w:r>
      <w:r>
        <w:t xml:space="preserve">Finance Leadership; Engineering Finance Business Partners; Financial Reporting</w:t>
      </w:r>
    </w:p>
    <w:p>
      <w:pPr>
        <w:pStyle w:val="BodyText"/>
      </w:pPr>
      <w:r>
        <w:rPr>
          <w:b/>
          <w:bCs/>
        </w:rPr>
        <w:t xml:space="preserve">From:</w:t>
      </w:r>
      <w:r>
        <w:t xml:space="preserve"> </w:t>
      </w:r>
      <w:r>
        <w:t xml:space="preserve">Elias Vantongeren, Manager, Technical Accounting</w:t>
      </w:r>
    </w:p>
    <w:p>
      <w:pPr>
        <w:pStyle w:val="BodyText"/>
      </w:pPr>
      <w:r>
        <w:rPr>
          <w:b/>
          <w:bCs/>
        </w:rPr>
        <w:t xml:space="preserve">Date:</w:t>
      </w:r>
      <w:r>
        <w:t xml:space="preserve"> </w:t>
      </w:r>
      <w:r>
        <w:t xml:space="preserve">January 20, 2026</w:t>
      </w:r>
    </w:p>
    <w:p>
      <w:pPr>
        <w:pStyle w:val="BodyText"/>
      </w:pPr>
      <w:r>
        <w:rPr>
          <w:b/>
          <w:bCs/>
        </w:rPr>
        <w:t xml:space="preserve">Subject:</w:t>
      </w:r>
      <w:r>
        <w:t xml:space="preserve"> </w:t>
      </w:r>
      <w:r>
        <w:t xml:space="preserve">Revised policy for capitalization of internal-use software and for hosting arrangement implementation costs under ASC 350-40</w:t>
      </w:r>
    </w:p>
    <w:bookmarkEnd w:id="10"/>
    <w:bookmarkStart w:id="11" w:name="purpose"/>
    <w:p>
      <w:pPr>
        <w:pStyle w:val="Heading2"/>
      </w:pPr>
      <w:r>
        <w:t xml:space="preserve">1. Purpose</w:t>
      </w:r>
    </w:p>
    <w:p>
      <w:pPr>
        <w:pStyle w:val="FirstParagraph"/>
      </w:pPr>
      <w:r>
        <w:t xml:space="preserve">This memorandum restates the Company’s policy for costs incurred to develop or obtain software for internal use, extends it to implementation costs in a cloud computing arrangement that is a service contract, and establishes a recurring impairment review. It supersedes ADI-FIN-001 in full, subject to the transition in Section 9.</w:t>
      </w:r>
    </w:p>
    <w:bookmarkEnd w:id="11"/>
    <w:bookmarkStart w:id="12" w:name="background"/>
    <w:p>
      <w:pPr>
        <w:pStyle w:val="Heading2"/>
      </w:pPr>
      <w:r>
        <w:t xml:space="preserve">2. Background</w:t>
      </w:r>
    </w:p>
    <w:p>
      <w:pPr>
        <w:pStyle w:val="FirstParagraph"/>
      </w:pPr>
      <w:r>
        <w:t xml:space="preserve">Three things have changed since February 2024. Engineering spend is concentrated in fewer, larger initiatives, so the original threshold captures small projects whose tracking cost exceeds the reporting benefit. Observed retirement patterns indicate a longer useful life than first estimated. And a growing share of technology spend is hosted third-party platforms, whose implementation costs the prior memorandum did not address.</w:t>
      </w:r>
    </w:p>
    <w:bookmarkEnd w:id="12"/>
    <w:bookmarkStart w:id="13" w:name="scope"/>
    <w:p>
      <w:pPr>
        <w:pStyle w:val="Heading2"/>
      </w:pPr>
      <w:r>
        <w:t xml:space="preserve">3. Scope</w:t>
      </w:r>
    </w:p>
    <w:p>
      <w:pPr>
        <w:pStyle w:val="FirstParagraph"/>
      </w:pPr>
      <w:r>
        <w:t xml:space="preserve">This memorandum applies to internal-use software developed, obtained, or modified for the Company’s own needs, including platform software delivered as a hosted service where the customer does not take possession of it, and to implementation costs in cloud arrangements accounted for as service contracts. Software licensed for installation on customer systems is outside scope and is evaluated under ASC 985-20.</w:t>
      </w:r>
    </w:p>
    <w:bookmarkEnd w:id="13"/>
    <w:bookmarkStart w:id="14" w:name="changes-from-version-1.0"/>
    <w:p>
      <w:pPr>
        <w:pStyle w:val="Heading2"/>
      </w:pPr>
      <w:r>
        <w:t xml:space="preserve">4. Changes From Version 1.0</w:t>
      </w:r>
    </w:p>
    <w:p>
      <w:pPr>
        <w:pStyle w:val="Compact"/>
        <w:numPr>
          <w:ilvl w:val="0"/>
          <w:numId w:val="1001"/>
        </w:numPr>
      </w:pPr>
      <w:r>
        <w:t xml:space="preserve">The capitalization threshold is raised from $25,000 per project to $100,000 per project.</w:t>
      </w:r>
    </w:p>
    <w:p>
      <w:pPr>
        <w:pStyle w:val="Compact"/>
        <w:numPr>
          <w:ilvl w:val="0"/>
          <w:numId w:val="1001"/>
        </w:numPr>
      </w:pPr>
      <w:r>
        <w:t xml:space="preserve">The estimated useful life for amortization is extended from 3 years to 5 years, straight-line.</w:t>
      </w:r>
    </w:p>
    <w:p>
      <w:pPr>
        <w:pStyle w:val="Compact"/>
        <w:numPr>
          <w:ilvl w:val="0"/>
          <w:numId w:val="1001"/>
        </w:numPr>
      </w:pPr>
      <w:r>
        <w:t xml:space="preserve">The benefits load used in the fully burdened internal labor rate is updated from 28 percent to 31 percent.</w:t>
      </w:r>
    </w:p>
    <w:p>
      <w:pPr>
        <w:pStyle w:val="Compact"/>
        <w:numPr>
          <w:ilvl w:val="0"/>
          <w:numId w:val="1001"/>
        </w:numPr>
      </w:pPr>
      <w:r>
        <w:t xml:space="preserve">Section 6 addresses implementation costs of cloud computing arrangements that are service contracts, Section 8 establishes a quarterly impairment review, and Section 9 sets out transition.</w:t>
      </w:r>
    </w:p>
    <w:p>
      <w:pPr>
        <w:pStyle w:val="FirstParagraph"/>
      </w:pPr>
      <w:r>
        <w:t xml:space="preserve">The ASC 350-40 stage framework, the treatment of training and data conversion costs, and the requirement for contemporaneous time records are unchanged.</w:t>
      </w:r>
    </w:p>
    <w:bookmarkEnd w:id="14"/>
    <w:bookmarkStart w:id="17" w:name="analysis"/>
    <w:p>
      <w:pPr>
        <w:pStyle w:val="Heading2"/>
      </w:pPr>
      <w:r>
        <w:t xml:space="preserve">5. Analysis</w:t>
      </w:r>
    </w:p>
    <w:bookmarkStart w:id="15" w:name="stage-framework"/>
    <w:p>
      <w:pPr>
        <w:pStyle w:val="Heading3"/>
      </w:pPr>
      <w:r>
        <w:t xml:space="preserve">5.1 Stage Framework</w:t>
      </w:r>
    </w:p>
    <w:p>
      <w:pPr>
        <w:pStyle w:val="FirstParagraph"/>
      </w:pPr>
      <w:r>
        <w:t xml:space="preserve">Preliminary project stage costs, covering conceptual formulation, evaluation of alternatives, and vendor selection, are expensed. Application development stage costs are capitalized once the preliminary stage is complete, funding is authorized and committed by management with the relevant authority, and completion and use of the software are probable. Post-implementation costs, including training, maintenance, and defect remediation that adds no functionality, are expensed, and capitalization ceases at production release. Upgrades and enhancements are capitalized only where additional functionality is probable and the enhancement meets the threshold in Section 7.</w:t>
      </w:r>
    </w:p>
    <w:bookmarkEnd w:id="15"/>
    <w:bookmarkStart w:id="16" w:name="internal-labor"/>
    <w:p>
      <w:pPr>
        <w:pStyle w:val="Heading3"/>
      </w:pPr>
      <w:r>
        <w:t xml:space="preserve">5.2 Internal Labor</w:t>
      </w:r>
    </w:p>
    <w:p>
      <w:pPr>
        <w:pStyle w:val="FirstParagraph"/>
      </w:pPr>
      <w:r>
        <w:t xml:space="preserve">Internal labor is capitalized at the fully burdened rate, being base salary plus a benefits load of 31 percent, applied to hours charged to an approved capitalizable project code. Bonus, equity compensation, and general administrative allocations are excluded, and time must be recorded contemporaneously.</w:t>
      </w:r>
    </w:p>
    <w:bookmarkEnd w:id="16"/>
    <w:bookmarkEnd w:id="17"/>
    <w:bookmarkStart w:id="18" w:name="cloud-computing-arrangements"/>
    <w:p>
      <w:pPr>
        <w:pStyle w:val="Heading2"/>
      </w:pPr>
      <w:r>
        <w:t xml:space="preserve">6. Cloud Computing Arrangements</w:t>
      </w:r>
    </w:p>
    <w:p>
      <w:pPr>
        <w:pStyle w:val="FirstParagraph"/>
      </w:pPr>
      <w:r>
        <w:t xml:space="preserve">Where the Company enters a hosting arrangement that is a service contract, the arrangement is expensed over its term as a service. Implementation costs are evaluated using the stage framework in Section 5.1.</w:t>
      </w:r>
    </w:p>
    <w:p>
      <w:pPr>
        <w:pStyle w:val="Compact"/>
        <w:numPr>
          <w:ilvl w:val="0"/>
          <w:numId w:val="1002"/>
        </w:numPr>
      </w:pPr>
      <w:r>
        <w:t xml:space="preserve">Preliminary stage costs, including vendor evaluation and requirements definition, are expensed, as are training and data conversion costs.</w:t>
      </w:r>
    </w:p>
    <w:p>
      <w:pPr>
        <w:pStyle w:val="Compact"/>
        <w:numPr>
          <w:ilvl w:val="0"/>
          <w:numId w:val="1002"/>
        </w:numPr>
      </w:pPr>
      <w:r>
        <w:t xml:space="preserve">Application development stage costs, including configuration, interface coding, and integration development, are capitalized where the project meets the threshold in Section 7.</w:t>
      </w:r>
    </w:p>
    <w:p>
      <w:pPr>
        <w:pStyle w:val="Compact"/>
        <w:numPr>
          <w:ilvl w:val="0"/>
          <w:numId w:val="1002"/>
        </w:numPr>
      </w:pPr>
      <w:r>
        <w:t xml:space="preserve">Capitalized implementation costs are presented as a prepaid asset, not an intangible asset, and are amortized straight-line over the fixed term plus renewals the Company is reasonably certain to exercise, in the same income statement line as the hosting fee.</w:t>
      </w:r>
    </w:p>
    <w:p>
      <w:pPr>
        <w:pStyle w:val="Compact"/>
        <w:numPr>
          <w:ilvl w:val="0"/>
          <w:numId w:val="1002"/>
        </w:numPr>
      </w:pPr>
      <w:r>
        <w:t xml:space="preserve">On termination or abandonment, the remaining unamortized cost is written off in the period the decision is made.</w:t>
      </w:r>
    </w:p>
    <w:bookmarkEnd w:id="18"/>
    <w:bookmarkStart w:id="19" w:name="policy-conclusion"/>
    <w:p>
      <w:pPr>
        <w:pStyle w:val="Heading2"/>
      </w:pPr>
      <w:r>
        <w:t xml:space="preserve">7. Policy Conclusion</w:t>
      </w:r>
    </w:p>
    <w:p>
      <w:pPr>
        <w:pStyle w:val="Compact"/>
        <w:numPr>
          <w:ilvl w:val="0"/>
          <w:numId w:val="1003"/>
        </w:numPr>
      </w:pPr>
      <w:r>
        <w:rPr>
          <w:b/>
          <w:bCs/>
        </w:rPr>
        <w:t xml:space="preserve">Threshold.</w:t>
      </w:r>
      <w:r>
        <w:t xml:space="preserve"> </w:t>
      </w:r>
      <w:r>
        <w:t xml:space="preserve">Capitalization applies only to projects whose total expected capitalizable cost is $100,000 or more per project. Projects below the threshold are expensed. Splitting a project to fall below the threshold is prohibited, and related workstreams delivering a single functional outcome are assessed together.</w:t>
      </w:r>
    </w:p>
    <w:p>
      <w:pPr>
        <w:pStyle w:val="Compact"/>
        <w:numPr>
          <w:ilvl w:val="0"/>
          <w:numId w:val="1003"/>
        </w:numPr>
      </w:pPr>
      <w:r>
        <w:rPr>
          <w:b/>
          <w:bCs/>
        </w:rPr>
        <w:t xml:space="preserve">Stage treatment.</w:t>
      </w:r>
      <w:r>
        <w:t xml:space="preserve"> </w:t>
      </w:r>
      <w:r>
        <w:t xml:space="preserve">As set out in Section 5.1.</w:t>
      </w:r>
    </w:p>
    <w:p>
      <w:pPr>
        <w:pStyle w:val="Compact"/>
        <w:numPr>
          <w:ilvl w:val="0"/>
          <w:numId w:val="1003"/>
        </w:numPr>
      </w:pPr>
      <w:r>
        <w:rPr>
          <w:b/>
          <w:bCs/>
        </w:rPr>
        <w:t xml:space="preserve">Internal labor.</w:t>
      </w:r>
      <w:r>
        <w:t xml:space="preserve"> </w:t>
      </w:r>
      <w:r>
        <w:t xml:space="preserve">Capitalized at base salary plus a 31 percent benefits load.</w:t>
      </w:r>
    </w:p>
    <w:p>
      <w:pPr>
        <w:pStyle w:val="Compact"/>
        <w:numPr>
          <w:ilvl w:val="0"/>
          <w:numId w:val="1003"/>
        </w:numPr>
      </w:pPr>
      <w:r>
        <w:rPr>
          <w:b/>
          <w:bCs/>
        </w:rPr>
        <w:t xml:space="preserve">Amortization.</w:t>
      </w:r>
      <w:r>
        <w:t xml:space="preserve"> </w:t>
      </w:r>
      <w:r>
        <w:t xml:space="preserve">Capitalized internal-use software is amortized straight-line over 5 years from the month it is placed in service. Cloud implementation costs are amortized over the term determined under Section 6.3.</w:t>
      </w:r>
    </w:p>
    <w:p>
      <w:pPr>
        <w:pStyle w:val="Compact"/>
        <w:numPr>
          <w:ilvl w:val="0"/>
          <w:numId w:val="1003"/>
        </w:numPr>
      </w:pPr>
      <w:r>
        <w:rPr>
          <w:b/>
          <w:bCs/>
        </w:rPr>
        <w:t xml:space="preserve">Authorization.</w:t>
      </w:r>
      <w:r>
        <w:t xml:space="preserve"> </w:t>
      </w:r>
      <w:r>
        <w:t xml:space="preserve">Capitalization begins only after the project appears on the approved capital project list.</w:t>
      </w:r>
    </w:p>
    <w:bookmarkEnd w:id="19"/>
    <w:bookmarkStart w:id="20" w:name="impairment-review"/>
    <w:p>
      <w:pPr>
        <w:pStyle w:val="Heading2"/>
      </w:pPr>
      <w:r>
        <w:t xml:space="preserve">8. Impairment Review</w:t>
      </w:r>
    </w:p>
    <w:p>
      <w:pPr>
        <w:pStyle w:val="FirstParagraph"/>
      </w:pPr>
      <w:r>
        <w:t xml:space="preserve">Technical Accounting reviews capitalized software balances quarterly at the quarter-end close, and escalates to the Corporate Controller where any of these triggers is present:</w:t>
      </w:r>
    </w:p>
    <w:p>
      <w:pPr>
        <w:pStyle w:val="Compact"/>
        <w:numPr>
          <w:ilvl w:val="0"/>
          <w:numId w:val="1004"/>
        </w:numPr>
      </w:pPr>
      <w:r>
        <w:t xml:space="preserve">The software is not expected to provide substantive service potential, including where a project is abandoned before release.</w:t>
      </w:r>
    </w:p>
    <w:p>
      <w:pPr>
        <w:pStyle w:val="Compact"/>
        <w:numPr>
          <w:ilvl w:val="0"/>
          <w:numId w:val="1004"/>
        </w:numPr>
      </w:pPr>
      <w:r>
        <w:t xml:space="preserve">A significant change occurs in the extent or manner of use, including deprecation of the functionality it supports.</w:t>
      </w:r>
    </w:p>
    <w:p>
      <w:pPr>
        <w:pStyle w:val="Compact"/>
        <w:numPr>
          <w:ilvl w:val="0"/>
          <w:numId w:val="1004"/>
        </w:numPr>
      </w:pPr>
      <w:r>
        <w:t xml:space="preserve">A significant change is made, or expected, such that part of the balance no longer has service potential.</w:t>
      </w:r>
    </w:p>
    <w:p>
      <w:pPr>
        <w:pStyle w:val="Compact"/>
        <w:numPr>
          <w:ilvl w:val="0"/>
          <w:numId w:val="1004"/>
        </w:numPr>
      </w:pPr>
      <w:r>
        <w:t xml:space="preserve">Development costs materially exceed the amount originally expected.</w:t>
      </w:r>
    </w:p>
    <w:p>
      <w:pPr>
        <w:pStyle w:val="Compact"/>
        <w:numPr>
          <w:ilvl w:val="0"/>
          <w:numId w:val="1004"/>
        </w:numPr>
      </w:pPr>
      <w:r>
        <w:t xml:space="preserve">The related product line or hosting arrangement is terminated.</w:t>
      </w:r>
    </w:p>
    <w:p>
      <w:pPr>
        <w:pStyle w:val="FirstParagraph"/>
      </w:pPr>
      <w:r>
        <w:t xml:space="preserve">Where a trigger is present, the carrying amount is written down to fair value, the remaining useful life is reassessed, and the conclusion is documented in the close file.</w:t>
      </w:r>
    </w:p>
    <w:bookmarkEnd w:id="20"/>
    <w:bookmarkStart w:id="21" w:name="transition"/>
    <w:p>
      <w:pPr>
        <w:pStyle w:val="Heading2"/>
      </w:pPr>
      <w:r>
        <w:t xml:space="preserve">9. Transition</w:t>
      </w:r>
    </w:p>
    <w:p>
      <w:pPr>
        <w:pStyle w:val="FirstParagraph"/>
      </w:pPr>
      <w:r>
        <w:t xml:space="preserve">This policy is applied prospectively to projects initiated on or after January 1, 2026. Projects initiated before that date and already capitalized under ADI-FIN-001 continue to be amortized over their original estimated useful life of 3 years, and are not remeasured to the 5-year life or to the revised burden rate. Costs incurred on or after January 1, 2026 on a project initiated before that date are assessed under this memorandum, with the incremental capitalized amount amortized over 5 years from the date it is placed in service. No cumulative-effect adjustment is recorded. Finance business partners identify affected in-flight projects at the first-quarter close and confirm the applicable life for each with Technical Accounting.</w:t>
      </w:r>
    </w:p>
    <w:bookmarkEnd w:id="21"/>
    <w:bookmarkStart w:id="22" w:name="examples"/>
    <w:p>
      <w:pPr>
        <w:pStyle w:val="Heading2"/>
      </w:pPr>
      <w:r>
        <w:t xml:space="preserve">10. Examples</w:t>
      </w:r>
    </w:p>
    <w:p>
      <w:pPr>
        <w:pStyle w:val="FirstParagraph"/>
      </w:pPr>
      <w:r>
        <w:rPr>
          <w:b/>
          <w:bCs/>
        </w:rPr>
        <w:t xml:space="preserve">Example A.</w:t>
      </w:r>
      <w:r>
        <w:t xml:space="preserve"> </w:t>
      </w:r>
      <w:r>
        <w:t xml:space="preserve">A team spends $74,000 of fully burdened internal labor on an internal analytics service in March 2026. The project falls below the $100,000 threshold and is expensed, notwithstanding that it would have been capitalized under the prior threshold.</w:t>
      </w:r>
    </w:p>
    <w:p>
      <w:pPr>
        <w:pStyle w:val="BodyText"/>
      </w:pPr>
      <w:r>
        <w:rPr>
          <w:b/>
          <w:bCs/>
        </w:rPr>
        <w:t xml:space="preserve">Example B.</w:t>
      </w:r>
      <w:r>
        <w:t xml:space="preserve"> </w:t>
      </w:r>
      <w:r>
        <w:t xml:space="preserve">A platform project authorized in September 2025, with $600,000 capitalized as of December 31, 2025, continues on its original 3-year life. A further $250,000 incurred in 2026 is capitalized and amortized over 5 years from the date that work is placed in service.</w:t>
      </w:r>
    </w:p>
    <w:p>
      <w:pPr>
        <w:pStyle w:val="BodyText"/>
      </w:pPr>
      <w:r>
        <w:rPr>
          <w:b/>
          <w:bCs/>
        </w:rPr>
        <w:t xml:space="preserve">Example C.</w:t>
      </w:r>
      <w:r>
        <w:t xml:space="preserve"> </w:t>
      </w:r>
      <w:r>
        <w:t xml:space="preserve">The Company implements a hosted human resources platform under a five-year service contract. Vendor selection cost is expensed, and $340,000 of configuration and interface development is capitalized as a prepaid asset and amortized over the five-year term.</w:t>
      </w:r>
    </w:p>
    <w:bookmarkEnd w:id="22"/>
    <w:bookmarkStart w:id="23" w:name="controls-and-documentation"/>
    <w:p>
      <w:pPr>
        <w:pStyle w:val="Heading2"/>
      </w:pPr>
      <w:r>
        <w:t xml:space="preserve">11. Controls and Documentation</w:t>
      </w:r>
    </w:p>
    <w:p>
      <w:pPr>
        <w:pStyle w:val="FirstParagraph"/>
      </w:pPr>
      <w:r>
        <w:t xml:space="preserve">Technical Accounting maintains the approved capital project list, reconciles time-tracking allocations to it monthly, prepares the capitalization and amortization entries at close, and performs the quarterly review under Section 8.</w:t>
      </w:r>
    </w:p>
    <w:bookmarkEnd w:id="23"/>
    <w:bookmarkStart w:id="24" w:name="related-documents"/>
    <w:p>
      <w:pPr>
        <w:pStyle w:val="Heading2"/>
      </w:pPr>
      <w:r>
        <w:t xml:space="preserve">12. Related Documents</w:t>
      </w:r>
    </w:p>
    <w:p>
      <w:pPr>
        <w:pStyle w:val="Compact"/>
        <w:numPr>
          <w:ilvl w:val="0"/>
          <w:numId w:val="1005"/>
        </w:numPr>
      </w:pPr>
      <w:r>
        <w:t xml:space="preserve">ADI-FIN-001, Accounting Policy Memorandum: Capitalization of Internal-Use Software (ASC 350-40)</w:t>
      </w:r>
    </w:p>
    <w:p>
      <w:pPr>
        <w:pStyle w:val="Compact"/>
        <w:numPr>
          <w:ilvl w:val="0"/>
          <w:numId w:val="1005"/>
        </w:numPr>
      </w:pPr>
      <w:r>
        <w:t xml:space="preserve">ASC 350-40, Intangibles, Goodwill and Other, Internal-Use Software</w:t>
      </w:r>
    </w:p>
    <w:p>
      <w:pPr>
        <w:pStyle w:val="Compact"/>
        <w:numPr>
          <w:ilvl w:val="0"/>
          <w:numId w:val="1005"/>
        </w:numPr>
      </w:pPr>
      <w:r>
        <w:t xml:space="preserve">ADI-POL-001, Data Retention Policy</w:t>
      </w:r>
    </w:p>
    <w:bookmarkEnd w:id="24"/>
    <w:bookmarkStart w:id="25"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2.0</w:t>
            </w:r>
          </w:p>
        </w:tc>
        <w:tc>
          <w:tcPr/>
          <w:p>
            <w:pPr>
              <w:pStyle w:val="Compact"/>
            </w:pPr>
            <w:r>
              <w:t xml:space="preserve">2026-01-20</w:t>
            </w:r>
          </w:p>
        </w:tc>
        <w:tc>
          <w:tcPr/>
          <w:p>
            <w:pPr>
              <w:pStyle w:val="Compact"/>
            </w:pPr>
            <w:r>
              <w:t xml:space="preserve">Restates ADI-FIN-001. Raises the capitalization threshold to $100,000 per project, extends the amortization life to 5 years straight-line, updates the benefits load to 31 percent, adds cloud computing arrangement implementation cost guidance, adds a quarterly impairment review, and sets prospective transition for projects initiated on or after January 1, 2026.</w:t>
            </w:r>
          </w:p>
        </w:tc>
        <w:tc>
          <w:tcPr/>
          <w:p>
            <w:pPr>
              <w:pStyle w:val="Compact"/>
            </w:pPr>
            <w:r>
              <w:t xml:space="preserve">Naomi Feuerbach; Daniel Osei-Bonsu</w:t>
            </w:r>
          </w:p>
        </w:tc>
      </w:tr>
    </w:tbl>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2026-08-09T02:04:43Z</dcterms:created>
  <dcterms:modified xsi:type="dcterms:W3CDTF">2026-08-09T02:04:43Z</dcterms:modified>
</cp:coreProperties>
</file>

<file path=docProps/custom.xml><?xml version="1.0" encoding="utf-8"?>
<Properties xmlns="http://schemas.openxmlformats.org/officeDocument/2006/custom-properties" xmlns:vt="http://schemas.openxmlformats.org/officeDocument/2006/docPropsVTypes"/>
</file>