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Torchbird Labs, Inc.</w:t>
      </w:r>
      <w:r>
        <w:t xml:space="preserve">, a Delaware corporation with its principal place of business at 1170 Aspen Court, Unit 12, Boulder, Colorado 80302.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technology licensing and joint development arrangement involving their respective platforms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p>
      <w:pPr>
        <w:pStyle w:val="BodyText"/>
      </w:pPr>
      <w:r>
        <w:rPr>
          <w:b/>
          <w:bCs/>
        </w:rPr>
        <w:t xml:space="preserve">10.4 Liquidated Damages.</w:t>
      </w:r>
      <w:r>
        <w:t xml:space="preserve"> </w:t>
      </w:r>
      <w:r>
        <w:t xml:space="preserve">The Parties agree that the actual damages resulting from a breach of Section 3 would be difficult to ascertain with precision. Accordingly, in addition to any equitable relief obtained under Section 10.1, the breaching Party will pay to the non-breaching Party liquidated damages of fifty thousand dollars ($50,000) for each breach of Section 3. Each separate item of Confidential Information that is used or disclosed in breach of Section 3, and each separate person to whom an item of Confidential Information is disclosed in breach of Section 3, constitutes a separate breach for the purposes of this Section 10.4. The Parties agree that this amount is a reasonable estimate of the loss that would be suffered and is not a penalty. Payment of liquidated damages under this Section 10.4 does not limit the non-breaching Party’s right to recover any other damages available at law or in equity.</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Torchbird Labs, Inc.:</w:t>
      </w:r>
      <w:r>
        <w:t xml:space="preserve"> </w:t>
      </w:r>
      <w:r>
        <w:t xml:space="preserve">1170 Aspen Court, Unit 12, Boulder, Colorado 80302</w:t>
      </w:r>
      <w:r>
        <w:t xml:space="preserve"> </w:t>
      </w:r>
      <w:r>
        <w:t xml:space="preserve">Attention: Chief Executive Officer</w:t>
      </w:r>
      <w:r>
        <w:t xml:space="preserve"> </w:t>
      </w:r>
      <w:r>
        <w:t xml:space="preserve">Email: legal@torchbirdlabs.example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TORCHBIRD LABS, INC.</w:t>
      </w:r>
    </w:p>
    <w:p>
      <w:pPr>
        <w:pStyle w:val="BodyText"/>
      </w:pPr>
      <w:r>
        <w:t xml:space="preserve">By: _______________________________</w:t>
      </w:r>
    </w:p>
    <w:p>
      <w:pPr>
        <w:pStyle w:val="BodyText"/>
      </w:pPr>
      <w:r>
        <w:t xml:space="preserve">Name: Nikhil Ravensworth</w:t>
      </w:r>
    </w:p>
    <w:p>
      <w:pPr>
        <w:pStyle w:val="BodyText"/>
      </w:pPr>
      <w:r>
        <w:t xml:space="preserve">Title: Chief Executive Officer and Co-Founder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