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Veranda Labs, Inc.</w:t>
      </w:r>
      <w:r>
        <w:t xml:space="preserve">, a Delaware corporation with its principal place of business at 3600 Wexler Point, Building 4, San Mateo, California 94402.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commercial relationship involving a product integration between their respective platforms and a possible reseller arrangement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Recipient will use the Discloser’s Confidential Information solely for the Purpose and for no other purpose. Without limiting the foregoing, the Receiving Party will not use the Disclosing Party’s Confidential Information to compete with the Discloser,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Recipient will protect the Company’s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3"/>
    <w:bookmarkStart w:id="14"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4"/>
    <w:bookmarkStart w:id="15" w:name="return-or-destruction"/>
    <w:p>
      <w:pPr>
        <w:pStyle w:val="Heading2"/>
      </w:pPr>
      <w:r>
        <w:t xml:space="preserve">7. Return or Destruction</w:t>
      </w:r>
    </w:p>
    <w:p>
      <w:pPr>
        <w:pStyle w:val="FirstParagraph"/>
      </w:pPr>
      <w:r>
        <w:t xml:space="preserve">On the Company’s written request at any time, or in any event within thirty (30) days after the expiration or termination of this Agreement, the Recipient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5"/>
    <w:bookmarkStart w:id="16"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p>
      <w:pPr>
        <w:pStyle w:val="BodyText"/>
      </w:pPr>
      <w:r>
        <w:rPr>
          <w:b/>
          <w:bCs/>
        </w:rPr>
        <w:t xml:space="preserve">8.5 Limitation of Liability.</w:t>
      </w:r>
      <w:r>
        <w:t xml:space="preserve"> </w:t>
      </w:r>
      <w:r>
        <w:t xml:space="preserve">In no event will either Party’s aggregate liability arising out of or relating to this Agreement exceed ten thousand dollars ($10,000), regardless of the form of action and regardless of whether that Party has been advised of the possibility of those damages.</w:t>
      </w:r>
    </w:p>
    <w:bookmarkEnd w:id="16"/>
    <w:bookmarkStart w:id="17"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7"/>
    <w:bookmarkStart w:id="18"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Provider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p>
      <w:pPr>
        <w:pStyle w:val="BodyText"/>
      </w:pPr>
      <w:r>
        <w:rPr>
          <w:b/>
          <w:bCs/>
        </w:rPr>
        <w:t xml:space="preserve">10.4 No Limitation.</w:t>
      </w:r>
      <w:r>
        <w:t xml:space="preserve"> </w:t>
      </w:r>
      <w:r>
        <w:t xml:space="preserve">The Parties agree that no limitation of liability of any kind applies to a breach of this Agreement, and that each Party is entitled to recover the full amount of any and all damages arising from a breach, without cap, exclusion, or limitation.</w:t>
      </w:r>
    </w:p>
    <w:bookmarkEnd w:id="18"/>
    <w:bookmarkStart w:id="19"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19"/>
    <w:bookmarkStart w:id="20"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Veranda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0"/>
    <w:bookmarkStart w:id="21" w:name="governing-law-and-venue"/>
    <w:p>
      <w:pPr>
        <w:pStyle w:val="Heading2"/>
      </w:pPr>
      <w:r>
        <w:t xml:space="preserve">13. Governing Law and Venue</w:t>
      </w:r>
    </w:p>
    <w:p>
      <w:pPr>
        <w:pStyle w:val="FirstParagraph"/>
      </w:pPr>
      <w:r>
        <w:t xml:space="preserve">This Agreement is governed by and construed in accordance with the laws of the State of {{governing_law_state}}, without regard to its conflict-of-laws principles. Each Party irrevocably submits to the exclusive jurisdiction of the state and federal courts located in {{governing_law_state}} for any action arising out of or relating to this Agreement, and waives any objection to venue in those courts, except that either Party may seek injunctive relief under Section 10.1 in any court of competent jurisdiction.</w:t>
      </w:r>
    </w:p>
    <w:bookmarkEnd w:id="21"/>
    <w:bookmarkStart w:id="22"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2"/>
    <w:bookmarkStart w:id="23"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p>
      <w:pPr>
        <w:pStyle w:val="BodyText"/>
      </w:pPr>
      <w:r>
        <w:rPr>
          <w:b/>
          <w:bCs/>
        </w:rPr>
        <w:t xml:space="preserve">DRAFT — DO NOT SIGN. Not reviewed or approved by Legal.</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