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on-disclosure-agreement-one-way"/>
    <w:p>
      <w:pPr>
        <w:pStyle w:val="Heading1"/>
      </w:pPr>
      <w:r>
        <w:t xml:space="preserve">Non-Disclosure Agreement (One-Way)</w:t>
      </w:r>
    </w:p>
    <w:p>
      <w:pPr>
        <w:pStyle w:val="FirstParagraph"/>
      </w:pPr>
      <w:r>
        <w:t xml:space="preserve">This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(the</w:t>
      </w:r>
      <w:r>
        <w:t xml:space="preserve"> </w:t>
      </w:r>
      <w:r>
        <w:t xml:space="preserve">“</w:t>
      </w:r>
      <w:r>
        <w:rPr>
          <w:b/>
          <w:bCs/>
        </w:rPr>
        <w:t xml:space="preserve">Disclosing Party</w:t>
      </w:r>
      <w:r>
        <w:t xml:space="preserve">”</w:t>
      </w:r>
      <w:r>
        <w:t xml:space="preserve">); and</w:t>
      </w:r>
    </w:p>
    <w:p>
      <w:pPr>
        <w:pStyle w:val="BodyText"/>
      </w:pPr>
      <w:r>
        <w:rPr>
          <w:b/>
          <w:bCs/>
        </w:rPr>
        <w:t xml:space="preserve">Veranda Labs, Inc.</w:t>
      </w:r>
      <w:r>
        <w:t xml:space="preserve">, a Delaware corporation with its principal place of business at 3600 Wexler Point, Building 4, San Mateo, California 94402 (the</w:t>
      </w:r>
      <w:r>
        <w:t xml:space="preserve"> </w:t>
      </w:r>
      <w:r>
        <w:t xml:space="preserve">“</w:t>
      </w:r>
      <w:r>
        <w:rPr>
          <w:b/>
          <w:bCs/>
        </w:rPr>
        <w:t xml:space="preserve">Receiving Party</w:t>
      </w:r>
      <w:r>
        <w:t xml:space="preserve">”</w:t>
      </w:r>
      <w:r>
        <w:t xml:space="preserve">).</w:t>
      </w:r>
    </w:p>
    <w:p>
      <w:pPr>
        <w:pStyle w:val="BodyText"/>
      </w:pPr>
      <w:r>
        <w:t xml:space="preserve">Each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Disclosing Party develops and operates a commercial software platform.</w:t>
      </w:r>
    </w:p>
    <w:p>
      <w:pPr>
        <w:pStyle w:val="BodyText"/>
      </w:pPr>
      <w:r>
        <w:rPr>
          <w:b/>
          <w:bCs/>
        </w:rPr>
        <w:t xml:space="preserve">B.</w:t>
      </w:r>
      <w:r>
        <w:t xml:space="preserve"> </w:t>
      </w:r>
      <w:r>
        <w:t xml:space="preserve">The Receiving Party wishes to evaluate that platform, and the Disclosing Party’s technical architecture and product roadmap, in order to assess a potential original-equipment-manufacturer integration between the Parties’ respective products (the</w:t>
      </w:r>
      <w:r>
        <w:t xml:space="preserve"> </w:t>
      </w:r>
      <w:r>
        <w:t xml:space="preserve">“</w:t>
      </w:r>
      <w:r>
        <w:rPr>
          <w:b/>
          <w:bCs/>
        </w:rPr>
        <w:t xml:space="preserve">Purpose</w:t>
      </w:r>
      <w:r>
        <w:t xml:space="preserve">”</w:t>
      </w:r>
      <w:r>
        <w:t xml:space="preserve">).</w:t>
      </w:r>
    </w:p>
    <w:p>
      <w:pPr>
        <w:pStyle w:val="BodyText"/>
      </w:pPr>
      <w:r>
        <w:rPr>
          <w:b/>
          <w:bCs/>
        </w:rPr>
        <w:t xml:space="preserve">C.</w:t>
      </w:r>
      <w:r>
        <w:t xml:space="preserve"> </w:t>
      </w:r>
      <w:r>
        <w:t xml:space="preserve">For that evaluation, the Disclosing Party will make available to the Receiving Party non-public information relating to its business, technology, and plans. The Receiving Party does not expect to disclose its own non-public information in connection with the Purpose, and this Agreement is therefore one-way.</w:t>
      </w:r>
    </w:p>
    <w:p>
      <w:pPr>
        <w:pStyle w:val="BodyText"/>
      </w:pPr>
      <w:r>
        <w:rPr>
          <w:b/>
          <w:bCs/>
        </w:rPr>
        <w:t xml:space="preserve">NOW, THEREFORE</w:t>
      </w:r>
      <w:r>
        <w:t xml:space="preserve">, in consideration of the disclosure of Confidential Information and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The Disclosing Party is not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Receiving Party will use the Confidential Information solely for the Purpose and for no other purpose. Without limiting the foregoing, the Receiving Party will not use the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 The Receiving Party will maintain a written list of each Representative to whom Confidential Information has been disclosed and will provide that list to the Disclosing Party on request.</w:t>
      </w:r>
    </w:p>
    <w:p>
      <w:pPr>
        <w:pStyle w:val="BodyText"/>
      </w:pPr>
      <w:r>
        <w:rPr>
          <w:b/>
          <w:bCs/>
        </w:rPr>
        <w:t xml:space="preserve">3.3 Standard of Care.</w:t>
      </w:r>
      <w:r>
        <w:t xml:space="preserve"> </w:t>
      </w:r>
      <w:r>
        <w:t xml:space="preserve">The Receiving Party will protect the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Confidential Information and will cooperate reasonably with the Disclosing Party to regain possession of it and to prevent further unauthorized use or disclosure.</w:t>
      </w:r>
    </w:p>
    <w:bookmarkEnd w:id="12"/>
    <w:bookmarkStart w:id="13" w:name="compelled-disclosure"/>
    <w:p>
      <w:pPr>
        <w:pStyle w:val="Heading2"/>
      </w:pP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t xml:space="preserve">5. Residual Knowledge</w:t>
      </w:r>
    </w:p>
    <w:p>
      <w:pPr>
        <w:pStyle w:val="FirstParagraph"/>
      </w:pPr>
      <w:r>
        <w:t xml:space="preserve">Nothing in this Agreement restricts the Receiving Party from using Residuals for any purpose, including use in the development, manufacture, marketing, and support of its own products and services, provided that this Section 5 does not grant the Receiving Party a license under the Disclosing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t xml:space="preserve">7. Return or Destruction</w:t>
      </w:r>
    </w:p>
    <w:p>
      <w:pPr>
        <w:pStyle w:val="FirstParagraph"/>
      </w:pPr>
      <w:r>
        <w:t xml:space="preserve">On the Disclosing Party’s written request at any time, or in any event within thirty (30) days after the expiration or termination of this Agreement, the Receiving Party will, at the Disclosing Party’s election, return or destroy all Confidential Information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The Disclosing Party makes no representation or warranty as to the accuracy or completeness of any Confidential Information, and will have no liability to the Receiving Party resulting from the Receiving Party’s reliance on it,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the Disclosing Party to disclose any particular information, obligates either Party to proceed with the Purpose, or obligates either Party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the Disclosing Party from entering into discussions or agreements with any third party, including a competitor of the Receiving Party.</w:t>
      </w:r>
    </w:p>
    <w:bookmarkEnd w:id="17"/>
    <w:bookmarkStart w:id="18" w:name="non-solicitation"/>
    <w:p>
      <w:pPr>
        <w:pStyle w:val="Heading2"/>
      </w:pPr>
      <w:r>
        <w:t xml:space="preserve">9. Non-Solicitation</w:t>
      </w:r>
    </w:p>
    <w:p>
      <w:pPr>
        <w:pStyle w:val="FirstParagraph"/>
      </w:pPr>
      <w:r>
        <w:t xml:space="preserve">For a period of twenty-four (24) months following the Effective Date, the Receiving Party will not directly or indirectly solicit for employment or engagement any employee of the Disclosing Party with whom the Receiving Party first had contact in connection with the Purpose, or about whom it first learned through the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the Receiving Party on that person’s own initiative without prior solicitation.</w:t>
      </w:r>
    </w:p>
    <w:bookmarkEnd w:id="18"/>
    <w:bookmarkStart w:id="19" w:name="remedies"/>
    <w:p>
      <w:pPr>
        <w:pStyle w:val="Heading2"/>
      </w:pPr>
      <w:r>
        <w:t xml:space="preserve">10. Remedies</w:t>
      </w:r>
    </w:p>
    <w:p>
      <w:pPr>
        <w:pStyle w:val="FirstParagraph"/>
      </w:pPr>
      <w:r>
        <w:rPr>
          <w:b/>
          <w:bCs/>
        </w:rPr>
        <w:t xml:space="preserve">10.1 Injunctive Relief.</w:t>
      </w:r>
      <w:r>
        <w:t xml:space="preserve"> </w:t>
      </w:r>
      <w:r>
        <w:t xml:space="preserve">The Receiving Party acknowledges that a breach or threatened breach of this Agreement may cause the Disclosing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the Disclosing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bookmarkEnd w:id="19"/>
    <w:bookmarkStart w:id="20"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the Disclosing Party:</w:t>
      </w:r>
      <w:r>
        <w:t xml:space="preserve"> </w:t>
      </w:r>
      <w:r>
        <w:t xml:space="preserve">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the Receiving Party:</w:t>
      </w:r>
      <w:r>
        <w:t xml:space="preserve"> </w:t>
      </w:r>
      <w:r>
        <w:t xml:space="preserve">Veranda Labs, Inc.</w:t>
      </w:r>
      <w:r>
        <w:t xml:space="preserve"> </w:t>
      </w:r>
      <w:r>
        <w:t xml:space="preserve">3600 Wexler Point, Building 4, San Mateo, California 94402</w:t>
      </w:r>
      <w:r>
        <w:t xml:space="preserve"> </w:t>
      </w:r>
      <w:r>
        <w:t xml:space="preserve">Attention: Director, Corporate Development</w:t>
      </w:r>
      <w:r>
        <w:t xml:space="preserve"> </w:t>
      </w:r>
      <w:r>
        <w:t xml:space="preserve">Email: corpdev@verandalabs.example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t xml:space="preserve">13. Governing Law and Venue</w:t>
      </w:r>
    </w:p>
    <w:p>
      <w:pPr>
        <w:pStyle w:val="FirstParagraph"/>
      </w:pPr>
      <w:r>
        <w:t xml:space="preserve">This Agreement is governed by and construed in accordance with the laws of the State of Delaware, without regard to its conflict-of-laws principles. Each Party irrevocably submits to the exclusive jurisdiction of the state and federal courts located in New Castle County, Delaware for any action arising out of or relating to this Agreement, and waives any objection to venue in those courts, except that the Disclosing Party may seek injunctive relief under Section 10.1 in any court of competent jurisdiction.</w:t>
      </w:r>
    </w:p>
    <w:bookmarkEnd w:id="22"/>
    <w:bookmarkStart w:id="23"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The Receiving Party may not assign this Agreement without the Disclosing Party’s prior written consent, except that it may assign it in its entirety, without consent, to a successor in connection with a merger, reorganization, or sale of all or substantially all of its assets or equity, on written notice to the Disclosing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The Receiving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t xml:space="preserve">Signature Page</w:t>
      </w:r>
    </w:p>
    <w:p>
      <w:pPr>
        <w:pStyle w:val="FirstParagraph"/>
      </w:pPr>
      <w:r>
        <w:rPr>
          <w:b/>
          <w:bCs/>
        </w:rPr>
        <w:t xml:space="preserve">IN WITNESS WHEREOF</w:t>
      </w:r>
      <w:r>
        <w:t xml:space="preserve">, the Parties have executed this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VERANDA LABS, INC.</w:t>
      </w:r>
    </w:p>
    <w:p>
      <w:pPr>
        <w:pStyle w:val="BodyText"/>
      </w:pPr>
      <w:r>
        <w:t xml:space="preserve">By: _______________________________</w:t>
      </w:r>
    </w:p>
    <w:p>
      <w:pPr>
        <w:pStyle w:val="BodyText"/>
      </w:pPr>
      <w:r>
        <w:t xml:space="preserve">Name: Ingrid Solheim</w:t>
      </w:r>
    </w:p>
    <w:p>
      <w:pPr>
        <w:pStyle w:val="BodyText"/>
      </w:pPr>
      <w:r>
        <w:t xml:space="preserve">Title: Chief Operating Officer</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