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9" w:name="settlement-agreement-and-mutual-release"/>
    <w:p>
      <w:pPr>
        <w:pStyle w:val="Heading1"/>
      </w:pPr>
      <w:r>
        <w:t xml:space="preserve">Settlement Agreement and Mutual Release</w:t>
      </w:r>
    </w:p>
    <w:p>
      <w:pPr>
        <w:pStyle w:val="FirstParagraph"/>
      </w:pPr>
      <w:r>
        <w:t xml:space="preserve">This Settlement Agreement and Mutual Release (this</w:t>
      </w:r>
      <w:r>
        <w:t xml:space="preserve"> </w:t>
      </w:r>
      <w:r>
        <w:t xml:space="preserve">“</w:t>
      </w:r>
      <w:r>
        <w:rPr>
          <w:b/>
          <w:bCs/>
        </w:rPr>
        <w:t xml:space="preserve">Agreement</w:t>
      </w:r>
      <w:r>
        <w:t xml:space="preserve">”</w:t>
      </w:r>
      <w:r>
        <w:t xml:space="preserve">) is entered into as of May 18, 2026 (the</w:t>
      </w:r>
      <w:r>
        <w:t xml:space="preserve"> </w:t>
      </w:r>
      <w:r>
        <w:t xml:space="preserve">“</w:t>
      </w:r>
      <w:r>
        <w:rPr>
          <w:b/>
          <w:bCs/>
        </w:rPr>
        <w:t xml:space="preserve">Effective Date</w:t>
      </w:r>
      <w:r>
        <w:t xml:space="preserve">”</w:t>
      </w:r>
      <w:r>
        <w:t xml:space="preserve">) by and between:</w:t>
      </w:r>
    </w:p>
    <w:p>
      <w:pPr>
        <w:pStyle w:val="BodyText"/>
      </w:pPr>
      <w:r>
        <w:rPr>
          <w:b/>
          <w:bCs/>
        </w:rPr>
        <w:t xml:space="preserve">ATTICUS DUNDEE INC.</w:t>
      </w:r>
      <w:r>
        <w:t xml:space="preserve">, a Delaware corporation with its principal place of business at 1450 Halverson Quay, Suite 600, Wilmington, Delaware 19801 (</w:t>
      </w:r>
      <w:r>
        <w:t xml:space="preserve">“</w:t>
      </w:r>
      <w:r>
        <w:rPr>
          <w:b/>
          <w:bCs/>
        </w:rPr>
        <w:t xml:space="preserve">Atticus Dundee</w:t>
      </w:r>
      <w:r>
        <w:t xml:space="preserve">”</w:t>
      </w:r>
      <w:r>
        <w:t xml:space="preserve">); and</w:t>
      </w:r>
    </w:p>
    <w:p>
      <w:pPr>
        <w:pStyle w:val="BodyText"/>
      </w:pPr>
      <w:r>
        <w:rPr>
          <w:b/>
          <w:bCs/>
        </w:rPr>
        <w:t xml:space="preserve">CLOUDHOST INC.</w:t>
      </w:r>
      <w:r>
        <w:t xml:space="preserve">, a Delaware corporation with its principal place of business at 990 Ironwood Terrace, Reston, Virginia 20190 (</w:t>
      </w:r>
      <w:r>
        <w:t xml:space="preserve">“</w:t>
      </w:r>
      <w:r>
        <w:rPr>
          <w:b/>
          <w:bCs/>
        </w:rPr>
        <w:t xml:space="preserve">CloudHost</w:t>
      </w:r>
      <w:r>
        <w:t xml:space="preserve">”</w:t>
      </w:r>
      <w:r>
        <w:t xml:space="preserve">).</w:t>
      </w:r>
    </w:p>
    <w:p>
      <w:pPr>
        <w:pStyle w:val="BodyText"/>
      </w:pPr>
      <w:r>
        <w:t xml:space="preserve">Atticus Dundee and CloudHost are each a</w:t>
      </w:r>
      <w:r>
        <w:t xml:space="preserve"> </w:t>
      </w:r>
      <w:r>
        <w:t xml:space="preserve">“</w:t>
      </w:r>
      <w:r>
        <w:rPr>
          <w:b/>
          <w:bCs/>
        </w:rPr>
        <w:t xml:space="preserve">Party</w:t>
      </w:r>
      <w:r>
        <w:t xml:space="preserve">”</w:t>
      </w:r>
      <w:r>
        <w:t xml:space="preserve"> </w:t>
      </w:r>
      <w:r>
        <w:t xml:space="preserve">and together the</w:t>
      </w:r>
      <w:r>
        <w:t xml:space="preserve"> </w:t>
      </w:r>
      <w:r>
        <w:t xml:space="preserve">“</w:t>
      </w:r>
      <w:r>
        <w:rPr>
          <w:b/>
          <w:bCs/>
        </w:rPr>
        <w:t xml:space="preserve">Parties</w:t>
      </w:r>
      <w:r>
        <w:t xml:space="preserve">.”</w:t>
      </w:r>
    </w:p>
    <w:bookmarkStart w:id="9" w:name="recitals"/>
    <w:p>
      <w:pPr>
        <w:pStyle w:val="Heading2"/>
      </w:pPr>
      <w:r>
        <w:t xml:space="preserve">Recitals</w:t>
      </w:r>
    </w:p>
    <w:p>
      <w:pPr>
        <w:pStyle w:val="FirstParagraph"/>
      </w:pPr>
      <w:r>
        <w:rPr>
          <w:b/>
          <w:bCs/>
        </w:rPr>
        <w:t xml:space="preserve">A. The Hosting Services Agreement.</w:t>
      </w:r>
      <w:r>
        <w:t xml:space="preserve"> </w:t>
      </w:r>
      <w:r>
        <w:t xml:space="preserve">On March 15, 2023, the Parties entered into a Cloud Hosting Services Agreement (as amended by Amendment No. 1 dated February 1, 2024 and Amendment No. 2 dated March 1, 2025, the</w:t>
      </w:r>
      <w:r>
        <w:t xml:space="preserve"> </w:t>
      </w:r>
      <w:r>
        <w:t xml:space="preserve">“</w:t>
      </w:r>
      <w:r>
        <w:rPr>
          <w:b/>
          <w:bCs/>
        </w:rPr>
        <w:t xml:space="preserve">HSA</w:t>
      </w:r>
      <w:r>
        <w:t xml:space="preserve">”</w:t>
      </w:r>
      <w:r>
        <w:t xml:space="preserve">), under which CloudHost provided managed infrastructure hosting, storage, backup, and network services for Atticus Dundee’s production and disaster-recovery environments.</w:t>
      </w:r>
    </w:p>
    <w:p>
      <w:pPr>
        <w:pStyle w:val="BodyText"/>
      </w:pPr>
      <w:r>
        <w:rPr>
          <w:b/>
          <w:bCs/>
        </w:rPr>
        <w:t xml:space="preserve">B. Fees.</w:t>
      </w:r>
      <w:r>
        <w:t xml:space="preserve"> </w:t>
      </w:r>
      <w:r>
        <w:t xml:space="preserve">The annual fee under the HSA for the contract year beginning March 1, 2025 was one hundred eighty thousand dollars ($180,000), invoiced monthly in arrears at fifteen thousand dollars ($15,000) per month, exclusive of usage overage.</w:t>
      </w:r>
    </w:p>
    <w:p>
      <w:pPr>
        <w:pStyle w:val="BodyText"/>
      </w:pPr>
      <w:r>
        <w:rPr>
          <w:b/>
          <w:bCs/>
        </w:rPr>
        <w:t xml:space="preserve">C. The Service Level Commitment.</w:t>
      </w:r>
      <w:r>
        <w:t xml:space="preserve"> </w:t>
      </w:r>
      <w:r>
        <w:t xml:space="preserve">Exhibit B to the HSA (the</w:t>
      </w:r>
      <w:r>
        <w:t xml:space="preserve"> </w:t>
      </w:r>
      <w:r>
        <w:t xml:space="preserve">“</w:t>
      </w:r>
      <w:r>
        <w:rPr>
          <w:b/>
          <w:bCs/>
        </w:rPr>
        <w:t xml:space="preserve">SLA</w:t>
      </w:r>
      <w:r>
        <w:t xml:space="preserve">”</w:t>
      </w:r>
      <w:r>
        <w:t xml:space="preserve">) committed CloudHost to make the production environment available not less than 99.95% of the time in each calendar month, measured as provided in the SLA, and provided for service credits calculated as a percentage of the monthly fee at three tiers: ten percent (10%) for monthly availability below 99.95% but at or above 99.5%; twenty percent (20%) for monthly availability below 99.5% but at or above 99.0%; and thirty percent (30%) for monthly availability below 99.0%.</w:t>
      </w:r>
    </w:p>
    <w:p>
      <w:pPr>
        <w:pStyle w:val="BodyText"/>
      </w:pPr>
      <w:r>
        <w:rPr>
          <w:b/>
          <w:bCs/>
        </w:rPr>
        <w:t xml:space="preserve">D. The Outages.</w:t>
      </w:r>
      <w:r>
        <w:t xml:space="preserve"> </w:t>
      </w:r>
      <w:r>
        <w:t xml:space="preserve">Between August 14, 2025 and November 5, 2025, the production environment experienced four unplanned outages with an aggregate duration of seventeen (17) hours and thirty (30) minutes, as set out in the outage schedule attached as</w:t>
      </w:r>
      <w:r>
        <w:t xml:space="preserve"> </w:t>
      </w:r>
      <w:r>
        <w:rPr>
          <w:b/>
          <w:bCs/>
        </w:rPr>
        <w:t xml:space="preserve">Exhibit A</w:t>
      </w:r>
      <w:r>
        <w:t xml:space="preserve">. Monthly availability during those months was 99.44% (August 2025), 99.75% (September 2025), 98.73% (October 2025), and 99.71% (November 2025). CloudHost issued or made available service credits totaling ten thousand five hundred dollars ($10,500) in respect of those months.</w:t>
      </w:r>
    </w:p>
    <w:p>
      <w:pPr>
        <w:pStyle w:val="BodyText"/>
      </w:pPr>
      <w:r>
        <w:rPr>
          <w:b/>
          <w:bCs/>
        </w:rPr>
        <w:t xml:space="preserve">E. Notice of Breach.</w:t>
      </w:r>
      <w:r>
        <w:t xml:space="preserve"> </w:t>
      </w:r>
      <w:r>
        <w:t xml:space="preserve">By letter dated November 12, 2025, Atticus Dundee notified CloudHost that it considered the outages to constitute a material breach of the HSA and the SLA and demanded cure.</w:t>
      </w:r>
    </w:p>
    <w:p>
      <w:pPr>
        <w:pStyle w:val="BodyText"/>
      </w:pPr>
      <w:r>
        <w:rPr>
          <w:b/>
          <w:bCs/>
        </w:rPr>
        <w:t xml:space="preserve">F. The Demand.</w:t>
      </w:r>
      <w:r>
        <w:t xml:space="preserve"> </w:t>
      </w:r>
      <w:r>
        <w:t xml:space="preserve">By letter dated December 8, 2025 from its counsel, Atticus Dundee demanded payment of two hundred fifty thousand dollars ($250,000), comprising eighty-six thousand four hundred dollars ($86,400) in internal incident-response and remediation labor, ninety-two thousand five hundred dollars ($92,500) in service credits that Atticus Dundee states it was required to issue to its own customers, fifty-four thousand three hundred dollars ($54,300) in expedited migration costs, and sixteen thousand eight hundred dollars ($16,800) in third-party forensic review fees (together, the</w:t>
      </w:r>
      <w:r>
        <w:t xml:space="preserve"> </w:t>
      </w:r>
      <w:r>
        <w:t xml:space="preserve">“</w:t>
      </w:r>
      <w:r>
        <w:rPr>
          <w:b/>
          <w:bCs/>
        </w:rPr>
        <w:t xml:space="preserve">Claimed Damages</w:t>
      </w:r>
      <w:r>
        <w:t xml:space="preserve">”</w:t>
      </w:r>
      <w:r>
        <w:t xml:space="preserve">).</w:t>
      </w:r>
    </w:p>
    <w:p>
      <w:pPr>
        <w:pStyle w:val="BodyText"/>
      </w:pPr>
      <w:r>
        <w:rPr>
          <w:b/>
          <w:bCs/>
        </w:rPr>
        <w:t xml:space="preserve">G. The Disputed Issues.</w:t>
      </w:r>
      <w:r>
        <w:t xml:space="preserve"> </w:t>
      </w:r>
      <w:r>
        <w:t xml:space="preserve">The Parties dispute, among other things:</w:t>
      </w:r>
      <w:r>
        <w:t xml:space="preserve"> </w:t>
      </w:r>
      <w:r>
        <w:rPr>
          <w:b/>
          <w:bCs/>
        </w:rPr>
        <w:t xml:space="preserve">(i) breach</w:t>
      </w:r>
      <w:r>
        <w:t xml:space="preserve"> </w:t>
      </w:r>
      <w:r>
        <w:t xml:space="preserve">— whether the outages constituted a material breach of the HSA, CloudHost contending that each outage was caused in whole or in part by a third-party network provider and by a configuration change requested by Atticus Dundee on October 20, 2025, and that the affected periods fall within the exclusions in Section 4.3 of the SLA;</w:t>
      </w:r>
      <w:r>
        <w:t xml:space="preserve"> </w:t>
      </w:r>
      <w:r>
        <w:rPr>
          <w:b/>
          <w:bCs/>
        </w:rPr>
        <w:t xml:space="preserve">(ii) damages</w:t>
      </w:r>
      <w:r>
        <w:t xml:space="preserve"> </w:t>
      </w:r>
      <w:r>
        <w:t xml:space="preserve">— whether the Claimed Damages were caused by the outages, whether they are adequately documented, and whether the customer credits Atticus Dundee issued were required rather than voluntary;</w:t>
      </w:r>
      <w:r>
        <w:t xml:space="preserve"> </w:t>
      </w:r>
      <w:r>
        <w:rPr>
          <w:b/>
          <w:bCs/>
        </w:rPr>
        <w:t xml:space="preserve">(iii) limitation of liability</w:t>
      </w:r>
      <w:r>
        <w:t xml:space="preserve"> </w:t>
      </w:r>
      <w:r>
        <w:t xml:space="preserve">— whether Section 11.2 of the HSA, which limits each party’s aggregate liability to the fees paid in the twelve (12) months preceding the event giving rise to the claim, caps any recovery at one hundred eighty thousand dollars ($180,000), and whether Section 11.3 of the HSA, which waives consequential damages, bars the customer-credit and expedited-migration components of the Claimed Damages; and</w:t>
      </w:r>
      <w:r>
        <w:t xml:space="preserve"> </w:t>
      </w:r>
      <w:r>
        <w:rPr>
          <w:b/>
          <w:bCs/>
        </w:rPr>
        <w:t xml:space="preserve">(iv) remedies</w:t>
      </w:r>
      <w:r>
        <w:t xml:space="preserve"> </w:t>
      </w:r>
      <w:r>
        <w:t xml:space="preserve">— whether the service credits provided by the SLA are the sole and exclusive remedy for availability failures under Section 4.6 of the SLA, or whether the chronic-failure termination right in Section 12.1(c) of the HSA preserves a damages claim.</w:t>
      </w:r>
    </w:p>
    <w:p>
      <w:pPr>
        <w:pStyle w:val="BodyText"/>
      </w:pPr>
      <w:r>
        <w:rPr>
          <w:b/>
          <w:bCs/>
        </w:rPr>
        <w:t xml:space="preserve">H. Termination of the HSA.</w:t>
      </w:r>
      <w:r>
        <w:t xml:space="preserve"> </w:t>
      </w:r>
      <w:r>
        <w:t xml:space="preserve">Atticus Dundee gave notice of termination of the HSA on December 22, 2025, and the HSA terminated effective January 31, 2026. Atticus Dundee has migrated its production and disaster-recovery environments to a replacement provider.</w:t>
      </w:r>
    </w:p>
    <w:p>
      <w:pPr>
        <w:pStyle w:val="BodyText"/>
      </w:pPr>
      <w:r>
        <w:rPr>
          <w:b/>
          <w:bCs/>
        </w:rPr>
        <w:t xml:space="preserve">I. Tolling.</w:t>
      </w:r>
      <w:r>
        <w:t xml:space="preserve"> </w:t>
      </w:r>
      <w:r>
        <w:t xml:space="preserve">The Parties entered into a tolling agreement dated January 9, 2026 (the</w:t>
      </w:r>
      <w:r>
        <w:t xml:space="preserve"> </w:t>
      </w:r>
      <w:r>
        <w:t xml:space="preserve">“</w:t>
      </w:r>
      <w:r>
        <w:rPr>
          <w:b/>
          <w:bCs/>
        </w:rPr>
        <w:t xml:space="preserve">Tolling Agreement</w:t>
      </w:r>
      <w:r>
        <w:t xml:space="preserve">”</w:t>
      </w:r>
      <w:r>
        <w:t xml:space="preserve">), which suspended the running of any applicable limitations period through June 30, 2026.</w:t>
      </w:r>
    </w:p>
    <w:p>
      <w:pPr>
        <w:pStyle w:val="BodyText"/>
      </w:pPr>
      <w:r>
        <w:rPr>
          <w:b/>
          <w:bCs/>
        </w:rPr>
        <w:t xml:space="preserve">J. Mediation.</w:t>
      </w:r>
      <w:r>
        <w:t xml:space="preserve"> </w:t>
      </w:r>
      <w:r>
        <w:t xml:space="preserve">The Parties participated in a mediation on April 21, 2026 before Hon. Delia M. Ferrante (Ret.), acting as a private mediator, at the conclusion of which they reached the agreement in principle recorded in this Agreement.</w:t>
      </w:r>
    </w:p>
    <w:p>
      <w:pPr>
        <w:pStyle w:val="BodyText"/>
      </w:pPr>
      <w:r>
        <w:rPr>
          <w:b/>
          <w:bCs/>
        </w:rPr>
        <w:t xml:space="preserve">K. Compromise.</w:t>
      </w:r>
      <w:r>
        <w:t xml:space="preserve"> </w:t>
      </w:r>
      <w:r>
        <w:t xml:space="preserve">The Parties wish to resolve fully and finally all disputes between them relating to the HSA, the SLA, the outages, and the Claimed Damages, without any admission of liability by either Party, and to avoid the expense, disruption, and uncertainty of litigation.</w:t>
      </w:r>
    </w:p>
    <w:p>
      <w:pPr>
        <w:pStyle w:val="BodyText"/>
      </w:pPr>
      <w:r>
        <w:rPr>
          <w:b/>
          <w:bCs/>
        </w:rPr>
        <w:t xml:space="preserve">NOW, THEREFORE</w:t>
      </w:r>
      <w:r>
        <w:t xml:space="preserve">, in consideration of the mutual promises and covenants set out below, and for other good and valuable consideration, the receipt and sufficiency of which are acknowledged, the Parties agree as follows.</w:t>
      </w:r>
    </w:p>
    <w:bookmarkEnd w:id="9"/>
    <w:bookmarkStart w:id="10" w:name="definitions"/>
    <w:p>
      <w:pPr>
        <w:pStyle w:val="Heading2"/>
      </w:pPr>
      <w:r>
        <w:t xml:space="preserve">1. Definitions</w:t>
      </w:r>
    </w:p>
    <w:p>
      <w:pPr>
        <w:pStyle w:val="FirstParagraph"/>
      </w:pPr>
      <w:r>
        <w:rPr>
          <w:b/>
          <w:bCs/>
        </w:rPr>
        <w:t xml:space="preserve">1.1</w:t>
      </w:r>
      <w:r>
        <w:t xml:space="preserve"> </w:t>
      </w:r>
      <w:r>
        <w:t xml:space="preserve">“</w:t>
      </w:r>
      <w:r>
        <w:rPr>
          <w:b/>
          <w:bCs/>
        </w:rPr>
        <w:t xml:space="preserve">Claimed Damages</w:t>
      </w:r>
      <w:r>
        <w:t xml:space="preserve">”</w:t>
      </w:r>
      <w:r>
        <w:t xml:space="preserve"> </w:t>
      </w:r>
      <w:r>
        <w:t xml:space="preserve">has the meaning given in Recital F.</w:t>
      </w:r>
    </w:p>
    <w:p>
      <w:pPr>
        <w:pStyle w:val="BodyText"/>
      </w:pPr>
      <w:r>
        <w:rPr>
          <w:b/>
          <w:bCs/>
        </w:rPr>
        <w:t xml:space="preserve">1.2</w:t>
      </w:r>
      <w:r>
        <w:t xml:space="preserve"> </w:t>
      </w:r>
      <w:r>
        <w:t xml:space="preserve">“</w:t>
      </w:r>
      <w:r>
        <w:rPr>
          <w:b/>
          <w:bCs/>
        </w:rPr>
        <w:t xml:space="preserve">Claims</w:t>
      </w:r>
      <w:r>
        <w:t xml:space="preserve">”</w:t>
      </w:r>
      <w:r>
        <w:t xml:space="preserve"> </w:t>
      </w:r>
      <w:r>
        <w:t xml:space="preserve">means any and all claims, counterclaims, demands, causes of action, suits, proceedings, liabilities, obligations, debts, damages, losses, costs, and expenses of every kind and nature, whether known or unknown, suspected or unsuspected, disclosed or undisclosed, accrued or unaccrued, liquidated or unliquidated, contingent or fixed, at law or in equity, arising under contract, tort, statute, regulation, or otherwise.</w:t>
      </w:r>
    </w:p>
    <w:p>
      <w:pPr>
        <w:pStyle w:val="BodyText"/>
      </w:pPr>
      <w:r>
        <w:rPr>
          <w:b/>
          <w:bCs/>
        </w:rPr>
        <w:t xml:space="preserve">1.3</w:t>
      </w:r>
      <w:r>
        <w:t xml:space="preserve"> </w:t>
      </w:r>
      <w:r>
        <w:t xml:space="preserve">“</w:t>
      </w:r>
      <w:r>
        <w:rPr>
          <w:b/>
          <w:bCs/>
        </w:rPr>
        <w:t xml:space="preserve">Confidential Terms</w:t>
      </w:r>
      <w:r>
        <w:t xml:space="preserve">”</w:t>
      </w:r>
      <w:r>
        <w:t xml:space="preserve"> </w:t>
      </w:r>
      <w:r>
        <w:t xml:space="preserve">means the amount of the Settlement Payment, the invoice waiver described in Section 4, the negotiating positions of the Parties, and the content of the mediation described in Recital J.</w:t>
      </w:r>
    </w:p>
    <w:p>
      <w:pPr>
        <w:pStyle w:val="BodyText"/>
      </w:pPr>
      <w:r>
        <w:rPr>
          <w:b/>
          <w:bCs/>
        </w:rPr>
        <w:t xml:space="preserve">1.4</w:t>
      </w:r>
      <w:r>
        <w:t xml:space="preserve"> </w:t>
      </w:r>
      <w:r>
        <w:t xml:space="preserve">“</w:t>
      </w:r>
      <w:r>
        <w:rPr>
          <w:b/>
          <w:bCs/>
        </w:rPr>
        <w:t xml:space="preserve">Migration Materials</w:t>
      </w:r>
      <w:r>
        <w:t xml:space="preserve">”</w:t>
      </w:r>
      <w:r>
        <w:t xml:space="preserve"> </w:t>
      </w:r>
      <w:r>
        <w:t xml:space="preserve">means the migration scripts, infrastructure-as-code templates, container images, runbooks, and configuration exports that CloudHost delivered or made available to Atticus Dundee between December 22, 2025 and January 31, 2026 to support the migration of Atticus Dundee’s environments to a replacement provider, as itemized in Section 5.3.</w:t>
      </w:r>
    </w:p>
    <w:p>
      <w:pPr>
        <w:pStyle w:val="BodyText"/>
      </w:pPr>
      <w:r>
        <w:rPr>
          <w:b/>
          <w:bCs/>
        </w:rPr>
        <w:t xml:space="preserve">1.5</w:t>
      </w:r>
      <w:r>
        <w:t xml:space="preserve"> </w:t>
      </w:r>
      <w:r>
        <w:t xml:space="preserve">“</w:t>
      </w:r>
      <w:r>
        <w:rPr>
          <w:b/>
          <w:bCs/>
        </w:rPr>
        <w:t xml:space="preserve">Released Claims</w:t>
      </w:r>
      <w:r>
        <w:t xml:space="preserve">”</w:t>
      </w:r>
      <w:r>
        <w:t xml:space="preserve"> </w:t>
      </w:r>
      <w:r>
        <w:t xml:space="preserve">has the meaning given in Section 7.1.</w:t>
      </w:r>
    </w:p>
    <w:p>
      <w:pPr>
        <w:pStyle w:val="BodyText"/>
      </w:pPr>
      <w:r>
        <w:rPr>
          <w:b/>
          <w:bCs/>
        </w:rPr>
        <w:t xml:space="preserve">1.6</w:t>
      </w:r>
      <w:r>
        <w:t xml:space="preserve"> </w:t>
      </w:r>
      <w:r>
        <w:t xml:space="preserve">“</w:t>
      </w:r>
      <w:r>
        <w:rPr>
          <w:b/>
          <w:bCs/>
        </w:rPr>
        <w:t xml:space="preserve">Releasing Parties</w:t>
      </w:r>
      <w:r>
        <w:t xml:space="preserve">”</w:t>
      </w:r>
      <w:r>
        <w:t xml:space="preserve"> </w:t>
      </w:r>
      <w:r>
        <w:t xml:space="preserve">means, in respect of each Party, that Party and its past, present, and future parents, subsidiaries, affiliates, predecessors, successors, and assigns, and each of their respective officers, directors, employees, agents, insurers, attorneys, and representatives, in each case in their capacities as such.</w:t>
      </w:r>
    </w:p>
    <w:p>
      <w:pPr>
        <w:pStyle w:val="BodyText"/>
      </w:pPr>
      <w:r>
        <w:rPr>
          <w:b/>
          <w:bCs/>
        </w:rPr>
        <w:t xml:space="preserve">1.7</w:t>
      </w:r>
      <w:r>
        <w:t xml:space="preserve"> </w:t>
      </w:r>
      <w:r>
        <w:t xml:space="preserve">“</w:t>
      </w:r>
      <w:r>
        <w:rPr>
          <w:b/>
          <w:bCs/>
        </w:rPr>
        <w:t xml:space="preserve">Settlement Payment</w:t>
      </w:r>
      <w:r>
        <w:t xml:space="preserve">”</w:t>
      </w:r>
      <w:r>
        <w:t xml:space="preserve"> </w:t>
      </w:r>
      <w:r>
        <w:t xml:space="preserve">has the meaning given in Section 3.1.</w:t>
      </w:r>
    </w:p>
    <w:p>
      <w:pPr>
        <w:pStyle w:val="BodyText"/>
      </w:pPr>
      <w:r>
        <w:rPr>
          <w:b/>
          <w:bCs/>
        </w:rPr>
        <w:t xml:space="preserve">1.8</w:t>
      </w:r>
      <w:r>
        <w:t xml:space="preserve"> </w:t>
      </w:r>
      <w:r>
        <w:t xml:space="preserve">“</w:t>
      </w:r>
      <w:r>
        <w:rPr>
          <w:b/>
          <w:bCs/>
        </w:rPr>
        <w:t xml:space="preserve">Business Day</w:t>
      </w:r>
      <w:r>
        <w:t xml:space="preserve">”</w:t>
      </w:r>
      <w:r>
        <w:t xml:space="preserve"> </w:t>
      </w:r>
      <w:r>
        <w:t xml:space="preserve">means any day other than a Saturday, Sunday, or day on which national banks in Wilmington, Delaware are authorized or required to close.</w:t>
      </w:r>
    </w:p>
    <w:p>
      <w:pPr>
        <w:pStyle w:val="BodyText"/>
      </w:pPr>
      <w:r>
        <w:rPr>
          <w:b/>
          <w:bCs/>
        </w:rPr>
        <w:t xml:space="preserve">1.9</w:t>
      </w:r>
      <w:r>
        <w:t xml:space="preserve"> </w:t>
      </w:r>
      <w:r>
        <w:t xml:space="preserve">Capitalized terms used but not defined in this Agreement have the meanings given to them in the HSA.</w:t>
      </w:r>
    </w:p>
    <w:bookmarkEnd w:id="10"/>
    <w:bookmarkStart w:id="11" w:name="effectiveness-and-conditions"/>
    <w:p>
      <w:pPr>
        <w:pStyle w:val="Heading2"/>
      </w:pPr>
      <w:r>
        <w:t xml:space="preserve">2. Effectiveness and Conditions</w:t>
      </w:r>
    </w:p>
    <w:p>
      <w:pPr>
        <w:pStyle w:val="FirstParagraph"/>
      </w:pPr>
      <w:r>
        <w:rPr>
          <w:b/>
          <w:bCs/>
        </w:rPr>
        <w:t xml:space="preserve">2.1 Effectiveness.</w:t>
      </w:r>
      <w:r>
        <w:t xml:space="preserve"> </w:t>
      </w:r>
      <w:r>
        <w:t xml:space="preserve">This Agreement becomes effective on the Effective Date, provided that it has been executed by an authorized representative of each Party.</w:t>
      </w:r>
    </w:p>
    <w:p>
      <w:pPr>
        <w:pStyle w:val="BodyText"/>
      </w:pPr>
      <w:r>
        <w:rPr>
          <w:b/>
          <w:bCs/>
        </w:rPr>
        <w:t xml:space="preserve">2.2 Conditions to Atticus Dundee’s Obligations.</w:t>
      </w:r>
      <w:r>
        <w:t xml:space="preserve"> </w:t>
      </w:r>
      <w:r>
        <w:t xml:space="preserve">The obligations of Atticus Dundee under Section 7.2 are conditioned on CloudHost’s payment in full of the first installment of the Settlement Payment in accordance with Section 3.2(a). If that installment is not received when due and the failure is not cured within ten (10) Business Days after written notice, Atticus Dundee may terminate this Agreement by written notice, in which case the releases in Section 7 are void ab initio, the Tolling Agreement is reinstated and extended by the number of days elapsed between the Effective Date and the date of termination, and each Party is restored to its position as of the day before the Effective Date, except that Section 13 (Confidentiality) survives.</w:t>
      </w:r>
    </w:p>
    <w:p>
      <w:pPr>
        <w:pStyle w:val="BodyText"/>
      </w:pPr>
      <w:r>
        <w:rPr>
          <w:b/>
          <w:bCs/>
        </w:rPr>
        <w:t xml:space="preserve">2.3 No Condition on CloudHost’s Release.</w:t>
      </w:r>
      <w:r>
        <w:t xml:space="preserve"> </w:t>
      </w:r>
      <w:r>
        <w:t xml:space="preserve">The release given by CloudHost in Section 7.2 is effective on the Effective Date and is not conditioned on any payment.</w:t>
      </w:r>
    </w:p>
    <w:bookmarkEnd w:id="11"/>
    <w:bookmarkStart w:id="12" w:name="settlement-payment"/>
    <w:p>
      <w:pPr>
        <w:pStyle w:val="Heading2"/>
      </w:pPr>
      <w:r>
        <w:t xml:space="preserve">3. Settlement Payment</w:t>
      </w:r>
    </w:p>
    <w:p>
      <w:pPr>
        <w:pStyle w:val="FirstParagraph"/>
      </w:pPr>
      <w:r>
        <w:rPr>
          <w:b/>
          <w:bCs/>
        </w:rPr>
        <w:t xml:space="preserve">3.1 Amount.</w:t>
      </w:r>
      <w:r>
        <w:t xml:space="preserve"> </w:t>
      </w:r>
      <w:r>
        <w:t xml:space="preserve">In consideration of the releases and covenants in this Agreement, CloudHost will pay Atticus Dundee the total sum of</w:t>
      </w:r>
      <w:r>
        <w:t xml:space="preserve"> </w:t>
      </w:r>
      <w:r>
        <w:rPr>
          <w:b/>
          <w:bCs/>
        </w:rPr>
        <w:t xml:space="preserve">one hundred seventy-two thousand five hundred dollars ($172,500)</w:t>
      </w:r>
      <w:r>
        <w:t xml:space="preserve"> </w:t>
      </w:r>
      <w:r>
        <w:t xml:space="preserve">(the</w:t>
      </w:r>
      <w:r>
        <w:t xml:space="preserve"> </w:t>
      </w:r>
      <w:r>
        <w:t xml:space="preserve">“</w:t>
      </w:r>
      <w:r>
        <w:rPr>
          <w:b/>
          <w:bCs/>
        </w:rPr>
        <w:t xml:space="preserve">Settlement Payment</w:t>
      </w:r>
      <w:r>
        <w:t xml:space="preserve">”</w:t>
      </w:r>
      <w:r>
        <w:t xml:space="preserve">).</w:t>
      </w:r>
    </w:p>
    <w:p>
      <w:pPr>
        <w:pStyle w:val="BodyText"/>
      </w:pPr>
      <w:r>
        <w:rPr>
          <w:b/>
          <w:bCs/>
        </w:rPr>
        <w:t xml:space="preserve">3.2 Schedule.</w:t>
      </w:r>
      <w:r>
        <w:t xml:space="preserve"> </w:t>
      </w:r>
      <w:r>
        <w:t xml:space="preserve">CloudHost will pay the Settlement Payment in two installments:</w:t>
      </w:r>
    </w:p>
    <w:p>
      <w:pPr>
        <w:numPr>
          <w:ilvl w:val="0"/>
          <w:numId w:val="1001"/>
        </w:numPr>
      </w:pPr>
      <w:r>
        <w:rPr>
          <w:b/>
          <w:bCs/>
        </w:rPr>
        <w:t xml:space="preserve">one hundred thousand dollars ($100,000)</w:t>
      </w:r>
      <w:r>
        <w:t xml:space="preserve"> </w:t>
      </w:r>
      <w:r>
        <w:t xml:space="preserve">within fifteen (15) Business Days after the Effective Date, and in any event no later than June 8, 2026; and</w:t>
      </w:r>
    </w:p>
    <w:p>
      <w:pPr>
        <w:numPr>
          <w:ilvl w:val="0"/>
          <w:numId w:val="1001"/>
        </w:numPr>
      </w:pPr>
      <w:r>
        <w:rPr>
          <w:b/>
          <w:bCs/>
        </w:rPr>
        <w:t xml:space="preserve">seventy-two thousand five hundred dollars ($72,500)</w:t>
      </w:r>
      <w:r>
        <w:t xml:space="preserve"> </w:t>
      </w:r>
      <w:r>
        <w:t xml:space="preserve">no later than August 31, 2026.</w:t>
      </w:r>
    </w:p>
    <w:p>
      <w:pPr>
        <w:pStyle w:val="FirstParagraph"/>
      </w:pPr>
      <w:r>
        <w:rPr>
          <w:b/>
          <w:bCs/>
        </w:rPr>
        <w:t xml:space="preserve">3.3 Method.</w:t>
      </w:r>
      <w:r>
        <w:t xml:space="preserve"> </w:t>
      </w:r>
      <w:r>
        <w:t xml:space="preserve">Each installment will be paid by wire transfer of immediately available funds to the account designated by Atticus Dundee in writing not later than five (5) Business Days after the Effective Date. Atticus Dundee will not change those wire instructions except by written notice signed by its Chief Financial Officer and confirmed by CloudHost by telephone to a previously known contact at Atticus Dundee.</w:t>
      </w:r>
    </w:p>
    <w:p>
      <w:pPr>
        <w:pStyle w:val="BodyText"/>
      </w:pPr>
      <w:r>
        <w:rPr>
          <w:b/>
          <w:bCs/>
        </w:rPr>
        <w:t xml:space="preserve">3.4 Late Payment.</w:t>
      </w:r>
      <w:r>
        <w:t xml:space="preserve"> </w:t>
      </w:r>
      <w:r>
        <w:t xml:space="preserve">Any installment not paid when due bears interest at the rate of eight percent (8%) per annum from its due date until paid. If any installment remains unpaid more than ten (10) Business Days after written notice of non-payment, the entire unpaid balance of the Settlement Payment becomes immediately due and payable without further notice or demand.</w:t>
      </w:r>
    </w:p>
    <w:p>
      <w:pPr>
        <w:pStyle w:val="BodyText"/>
      </w:pPr>
      <w:r>
        <w:rPr>
          <w:b/>
          <w:bCs/>
        </w:rPr>
        <w:t xml:space="preserve">3.5 Tax Treatment.</w:t>
      </w:r>
      <w:r>
        <w:t xml:space="preserve"> </w:t>
      </w:r>
      <w:r>
        <w:t xml:space="preserve">Each Party is responsible for its own tax obligations arising from this Agreement. The Parties agree that the Settlement Payment is compensation for alleged economic loss and is not a payment for services. Neither Party makes any representation to the other concerning the tax treatment of any payment under this Agreement. Atticus Dundee will deliver a completed IRS Form W-9 to CloudHost within ten (10) Business Days after the Effective Date.</w:t>
      </w:r>
    </w:p>
    <w:p>
      <w:pPr>
        <w:pStyle w:val="BodyText"/>
      </w:pPr>
      <w:r>
        <w:rPr>
          <w:b/>
          <w:bCs/>
        </w:rPr>
        <w:t xml:space="preserve">3.6 No Further Consideration.</w:t>
      </w:r>
      <w:r>
        <w:t xml:space="preserve"> </w:t>
      </w:r>
      <w:r>
        <w:t xml:space="preserve">Except as expressly stated in this Agreement, neither Party owes the other any payment, credit, refund, or other consideration in connection with the HSA, the SLA, the outages, or the Claimed Damages.</w:t>
      </w:r>
    </w:p>
    <w:p>
      <w:pPr>
        <w:pStyle w:val="BodyText"/>
      </w:pPr>
      <w:r>
        <w:rPr>
          <w:b/>
          <w:bCs/>
        </w:rPr>
        <w:t xml:space="preserve">3.7 Preference and Avoidance Protection.</w:t>
      </w:r>
      <w:r>
        <w:t xml:space="preserve"> </w:t>
      </w:r>
      <w:r>
        <w:t xml:space="preserve">If any portion of the Settlement Payment is avoided, set aside, recovered, or required to be repaid by Atticus Dundee as a preference, fraudulent transfer, or otherwise in any bankruptcy, insolvency, receivership, or similar proceeding involving CloudHost, then, to the extent of the amount so avoided or repaid: (a) the release given by Atticus Dundee in Section 7.1 is void and of no effect; (b) Atticus Dundee’s Released Claims are reinstated in full as of the day before the Effective Date; (c) any applicable limitations period is deemed tolled from January 9, 2026 through the date that is ninety (90) days after the final, non-appealable order requiring the avoidance or repayment; and (d) Atticus Dundee may assert the reinstated Claims in the proceeding or in any other forum of competent jurisdiction. CloudHost will not contest the tolling described in clause (c).</w:t>
      </w:r>
    </w:p>
    <w:p>
      <w:pPr>
        <w:pStyle w:val="BodyText"/>
      </w:pPr>
      <w:r>
        <w:rPr>
          <w:b/>
          <w:bCs/>
        </w:rPr>
        <w:t xml:space="preserve">3.8 Insurance Proceeds.</w:t>
      </w:r>
      <w:r>
        <w:t xml:space="preserve"> </w:t>
      </w:r>
      <w:r>
        <w:t xml:space="preserve">CloudHost’s obligation to pay the Settlement Payment is absolute and is not conditioned on, or subject to reduction by, the receipt of any payment from any insurer. Each Party will cooperate reasonably, at the requesting Party’s expense, with the other Party’s insurers in connection with any claim relating to the matters resolved by this Agreement, including by providing documents and making personnel available for interview, provided that no such cooperation requires the disclosure of privileged material or of the Confidential Terms except as permitted by Section 13.1(a).</w:t>
      </w:r>
    </w:p>
    <w:bookmarkEnd w:id="12"/>
    <w:bookmarkStart w:id="13" w:name="Xcef115dbee9a0d616822f3aebaa709ab988bda4"/>
    <w:p>
      <w:pPr>
        <w:pStyle w:val="Heading2"/>
      </w:pPr>
      <w:r>
        <w:t xml:space="preserve">4. Outstanding Invoices and Account Reconciliation</w:t>
      </w:r>
    </w:p>
    <w:p>
      <w:pPr>
        <w:pStyle w:val="FirstParagraph"/>
      </w:pPr>
      <w:r>
        <w:rPr>
          <w:b/>
          <w:bCs/>
        </w:rPr>
        <w:t xml:space="preserve">4.1 Waiver of Invoices.</w:t>
      </w:r>
      <w:r>
        <w:t xml:space="preserve"> </w:t>
      </w:r>
      <w:r>
        <w:t xml:space="preserve">CloudHost irrevocably waives, cancels, and releases all amounts invoiced or invoiceable to Atticus Dundee under the HSA for the period from November 1, 2025 through January 31, 2026, totaling</w:t>
      </w:r>
      <w:r>
        <w:t xml:space="preserve"> </w:t>
      </w:r>
      <w:r>
        <w:rPr>
          <w:b/>
          <w:bCs/>
        </w:rPr>
        <w:t xml:space="preserve">forty-seven thousand five hundred dollars ($47,500)</w:t>
      </w:r>
      <w:r>
        <w:t xml:space="preserve">, comprising forty-five thousand dollars ($45,000) in monthly fees and two thousand five hundred dollars ($2,500) in usage overage. CloudHost will issue credit memoranda evidencing that waiver within fifteen (15) Business Days after the Effective Date.</w:t>
      </w:r>
    </w:p>
    <w:p>
      <w:pPr>
        <w:pStyle w:val="BodyText"/>
      </w:pPr>
      <w:r>
        <w:rPr>
          <w:b/>
          <w:bCs/>
        </w:rPr>
        <w:t xml:space="preserve">4.2 Service Credits.</w:t>
      </w:r>
      <w:r>
        <w:t xml:space="preserve"> </w:t>
      </w:r>
      <w:r>
        <w:t xml:space="preserve">The service credits described in Recital D are fully satisfied and extinguished by this Agreement. Atticus Dundee will not seek, and CloudHost will not owe, any further service credit under the SLA.</w:t>
      </w:r>
    </w:p>
    <w:p>
      <w:pPr>
        <w:pStyle w:val="BodyText"/>
      </w:pPr>
      <w:r>
        <w:rPr>
          <w:b/>
          <w:bCs/>
        </w:rPr>
        <w:t xml:space="preserve">4.3 Final Account Statement.</w:t>
      </w:r>
      <w:r>
        <w:t xml:space="preserve"> </w:t>
      </w:r>
      <w:r>
        <w:t xml:space="preserve">Within twenty (20) Business Days after the Effective Date, CloudHost will deliver to Atticus Dundee a final statement of account showing a zero balance. Neither Party will report to any credit reporting agency, collection agency, or trade reference any amount as owing by the other in connection with the HSA.</w:t>
      </w:r>
    </w:p>
    <w:p>
      <w:pPr>
        <w:pStyle w:val="BodyText"/>
      </w:pPr>
      <w:r>
        <w:rPr>
          <w:b/>
          <w:bCs/>
        </w:rPr>
        <w:t xml:space="preserve">4.4 No Set-Off.</w:t>
      </w:r>
      <w:r>
        <w:t xml:space="preserve"> </w:t>
      </w:r>
      <w:r>
        <w:t xml:space="preserve">CloudHost may not set off or recoup any amount against the Settlement Payment, including any amount waived under Section 4.1.</w:t>
      </w:r>
    </w:p>
    <w:bookmarkEnd w:id="13"/>
    <w:bookmarkStart w:id="14" w:name="termination-of-the-hsa-and-transition"/>
    <w:p>
      <w:pPr>
        <w:pStyle w:val="Heading2"/>
      </w:pPr>
      <w:r>
        <w:t xml:space="preserve">5. Termination of the HSA and Transition</w:t>
      </w:r>
    </w:p>
    <w:p>
      <w:pPr>
        <w:pStyle w:val="FirstParagraph"/>
      </w:pPr>
      <w:r>
        <w:rPr>
          <w:b/>
          <w:bCs/>
        </w:rPr>
        <w:t xml:space="preserve">5.1 Confirmation of Termination.</w:t>
      </w:r>
      <w:r>
        <w:t xml:space="preserve"> </w:t>
      </w:r>
      <w:r>
        <w:t xml:space="preserve">The Parties confirm that the HSA terminated effective January 31, 2026 and that no obligation under the HSA survives except as expressly provided in this Section 5, in Section 6, and in the provisions of the HSA identified in Section 5.5.</w:t>
      </w:r>
    </w:p>
    <w:p>
      <w:pPr>
        <w:pStyle w:val="BodyText"/>
      </w:pPr>
      <w:r>
        <w:rPr>
          <w:b/>
          <w:bCs/>
        </w:rPr>
        <w:t xml:space="preserve">5.2 Completion of Transition Services.</w:t>
      </w:r>
      <w:r>
        <w:t xml:space="preserve"> </w:t>
      </w:r>
      <w:r>
        <w:t xml:space="preserve">The Parties confirm that CloudHost has completed the transition assistance required by Section 12.5 of the HSA, and that Atticus Dundee has no further claim in respect of transition assistance, except that CloudHost will respond to reasonable written questions from Atticus Dundee concerning the configuration of the former environment for a period of ninety (90) days after the Effective Date, at no charge, up to an aggregate of twenty (20) hours of engineering time.</w:t>
      </w:r>
    </w:p>
    <w:p>
      <w:pPr>
        <w:pStyle w:val="BodyText"/>
      </w:pPr>
      <w:r>
        <w:rPr>
          <w:b/>
          <w:bCs/>
        </w:rPr>
        <w:t xml:space="preserve">5.3 Migration Materials License.</w:t>
      </w:r>
      <w:r>
        <w:t xml:space="preserve"> </w:t>
      </w:r>
      <w:r>
        <w:t xml:space="preserve">CloudHost grants Atticus Dundee a perpetual, irrevocable, worldwide, non-exclusive, fully paid-up, royalty-free license to use, reproduce, modify, and create derivative works of the Migration Materials for Atticus Dundee’s internal business purposes, including in its replacement hosting environment. The Migration Materials consist of: (a) the environment export and reconstitution scripts delivered on December 29, 2025; (b) the infrastructure-as-code templates delivered on January 8, 2026; (c) the container images and build manifests delivered on January 14, 2026; (d) the network and firewall configuration exports delivered on January 20, 2026; and (e) the operational runbooks delivered on January 27, 2026. This license does not extend to CloudHost’s platform software, control-plane software, or any component that CloudHost did not deliver to Atticus Dundee.</w:t>
      </w:r>
    </w:p>
    <w:p>
      <w:pPr>
        <w:pStyle w:val="BodyText"/>
      </w:pPr>
      <w:r>
        <w:rPr>
          <w:b/>
          <w:bCs/>
        </w:rPr>
        <w:t xml:space="preserve">5.4 No Ongoing Services.</w:t>
      </w:r>
      <w:r>
        <w:t xml:space="preserve"> </w:t>
      </w:r>
      <w:r>
        <w:t xml:space="preserve">CloudHost has no obligation to provide hosting, support, monitoring, or other services to Atticus Dundee after the Effective Date, other than the limited assistance described in Section 5.2.</w:t>
      </w:r>
    </w:p>
    <w:p>
      <w:pPr>
        <w:pStyle w:val="BodyText"/>
      </w:pPr>
      <w:r>
        <w:rPr>
          <w:b/>
          <w:bCs/>
        </w:rPr>
        <w:t xml:space="preserve">5.5 Surviving HSA Provisions.</w:t>
      </w:r>
      <w:r>
        <w:t xml:space="preserve"> </w:t>
      </w:r>
      <w:r>
        <w:t xml:space="preserve">Sections 9 (Confidentiality) and 13 (Data Protection) of the HSA survive in accordance with their terms and are not released, waived, modified, or superseded by this Agreement, except that any claim for breach of those sections that arose on or before the Effective Date and that is otherwise within the definition of Released Claims is released as provided in Section 7. The text of the HSA and SLA provisions relevant to the Disputed Issues described in Recital G is reproduced for reference in</w:t>
      </w:r>
      <w:r>
        <w:t xml:space="preserve"> </w:t>
      </w:r>
      <w:r>
        <w:rPr>
          <w:b/>
          <w:bCs/>
        </w:rPr>
        <w:t xml:space="preserve">Exhibit E</w:t>
      </w:r>
      <w:r>
        <w:t xml:space="preserve">; that reproduction is for convenience only and does not modify the HSA or the SLA.</w:t>
      </w:r>
    </w:p>
    <w:p>
      <w:pPr>
        <w:pStyle w:val="BodyText"/>
      </w:pPr>
      <w:r>
        <w:rPr>
          <w:b/>
          <w:bCs/>
        </w:rPr>
        <w:t xml:space="preserve">5.6 Non-Solicitation of Personnel.</w:t>
      </w:r>
      <w:r>
        <w:t xml:space="preserve"> </w:t>
      </w:r>
      <w:r>
        <w:t xml:space="preserve">For a period of twelve (12) months after the Effective Date, neither Party will solicit for employment or engagement any employee of the other Party who was directly involved in the performance of the HSA, the response to the outages described in Recital D, or the migration described in Section 5.3. This Section 5.6 does not restrict (a) general advertisements or recruiting campaigns not targeted at those employees, (b) the hiring of any person who responds to such a general advertisement or campaign, or (c) the hiring of any person whose employment with the other Party ended at least six (6) months before the first contact concerning employment.</w:t>
      </w:r>
    </w:p>
    <w:bookmarkEnd w:id="14"/>
    <w:bookmarkStart w:id="15" w:name="data-return-deletion-and-certification"/>
    <w:p>
      <w:pPr>
        <w:pStyle w:val="Heading2"/>
      </w:pPr>
      <w:r>
        <w:t xml:space="preserve">6. Data Return, Deletion, and Certification</w:t>
      </w:r>
    </w:p>
    <w:p>
      <w:pPr>
        <w:pStyle w:val="FirstParagraph"/>
      </w:pPr>
      <w:r>
        <w:rPr>
          <w:b/>
          <w:bCs/>
        </w:rPr>
        <w:t xml:space="preserve">6.1 Return.</w:t>
      </w:r>
      <w:r>
        <w:t xml:space="preserve"> </w:t>
      </w:r>
      <w:r>
        <w:t xml:space="preserve">CloudHost confirms that it has returned to Atticus Dundee all Atticus Dundee data in its possession or control, in the formats requested by Atticus Dundee, and that no request for data return made by Atticus Dundee remains outstanding.</w:t>
      </w:r>
    </w:p>
    <w:p>
      <w:pPr>
        <w:pStyle w:val="BodyText"/>
      </w:pPr>
      <w:r>
        <w:rPr>
          <w:b/>
          <w:bCs/>
        </w:rPr>
        <w:t xml:space="preserve">6.2 Deletion.</w:t>
      </w:r>
      <w:r>
        <w:t xml:space="preserve"> </w:t>
      </w:r>
      <w:r>
        <w:t xml:space="preserve">Within forty-five (45) days after the Effective Date, CloudHost will securely delete or destroy all Atticus Dundee data remaining in its production, staging, archival, and backup systems, and in the systems of any subcontractor, using a method consistent with NIST Special Publication 800-88 media sanitization guidance, except for data that CloudHost is required by applicable law to retain, which CloudHost will identify to Atticus Dundee in writing, will hold subject to the surviving confidentiality obligations described in Section 5.5, and will delete promptly on expiration of the retention obligation.</w:t>
      </w:r>
    </w:p>
    <w:p>
      <w:pPr>
        <w:pStyle w:val="BodyText"/>
      </w:pPr>
      <w:r>
        <w:rPr>
          <w:b/>
          <w:bCs/>
        </w:rPr>
        <w:t xml:space="preserve">6.3 Certification.</w:t>
      </w:r>
      <w:r>
        <w:t xml:space="preserve"> </w:t>
      </w:r>
      <w:r>
        <w:t xml:space="preserve">Within ten (10) Business Days after completing the deletion required by Section 6.2, CloudHost will deliver to Atticus Dundee a certificate of deletion in the form attached as</w:t>
      </w:r>
      <w:r>
        <w:t xml:space="preserve"> </w:t>
      </w:r>
      <w:r>
        <w:rPr>
          <w:b/>
          <w:bCs/>
        </w:rPr>
        <w:t xml:space="preserve">Exhibit B</w:t>
      </w:r>
      <w:r>
        <w:t xml:space="preserve">, signed by an officer of CloudHost.</w:t>
      </w:r>
    </w:p>
    <w:p>
      <w:pPr>
        <w:pStyle w:val="BodyText"/>
      </w:pPr>
      <w:r>
        <w:rPr>
          <w:b/>
          <w:bCs/>
        </w:rPr>
        <w:t xml:space="preserve">6.4 Continuing Obligation.</w:t>
      </w:r>
      <w:r>
        <w:t xml:space="preserve"> </w:t>
      </w:r>
      <w:r>
        <w:t xml:space="preserve">If CloudHost later discovers any Atticus Dundee data in its possession or control, it will notify Atticus Dundee within five (5) Business Days, will not access or use that data except as necessary to delete it, and will delete it and deliver a supplemental certificate within thirty (30) days.</w:t>
      </w:r>
    </w:p>
    <w:p>
      <w:pPr>
        <w:pStyle w:val="BodyText"/>
      </w:pPr>
      <w:r>
        <w:rPr>
          <w:b/>
          <w:bCs/>
        </w:rPr>
        <w:t xml:space="preserve">6.5 Litigation Holds.</w:t>
      </w:r>
      <w:r>
        <w:t xml:space="preserve"> </w:t>
      </w:r>
      <w:r>
        <w:t xml:space="preserve">Each Party may release the litigation hold it issued in connection with the dispute resolved by this Agreement thirty (30) days after the Effective Date, except that each Party will preserve, for three (3) years after the Effective Date: (a) the incident records, monitoring data, and post-incident reviews relating to the outages described in Recital D; (b) the documents supporting the Claimed Damages; and (c) this Agreement and the documents evidencing its performance. Nothing in this Section 6.5 requires a Party to preserve material beyond the period required by applicable law or its ordinary records-retention schedule, whichever is longer, and nothing in this Section 6.5 waives any privilege.</w:t>
      </w:r>
    </w:p>
    <w:p>
      <w:pPr>
        <w:pStyle w:val="BodyText"/>
      </w:pPr>
      <w:r>
        <w:rPr>
          <w:b/>
          <w:bCs/>
        </w:rPr>
        <w:t xml:space="preserve">6.6 Disputed Certification.</w:t>
      </w:r>
      <w:r>
        <w:t xml:space="preserve"> </w:t>
      </w:r>
      <w:r>
        <w:t xml:space="preserve">If Atticus Dundee reasonably believes, within sixty (60) days after receiving the certificate required by Section 6.3, that the deletion required by Section 6.2 is incomplete, it will notify CloudHost in writing describing the basis for that belief. CloudHost will investigate and respond in writing within fifteen (15) Business Days. If the Parties cannot resolve the issue within thirty (30) days after CloudHost’s response, Atticus Dundee may, at its own expense, engage an independent assessor reasonably acceptable to CloudHost to verify deletion, subject to a confidentiality undertaking reasonably acceptable to CloudHost. If the assessor determines that deletion was materially incomplete, CloudHost will reimburse the reasonable cost of the assessment and will complete the deletion within fifteen (15) Business Days.</w:t>
      </w:r>
    </w:p>
    <w:bookmarkEnd w:id="15"/>
    <w:bookmarkStart w:id="16" w:name="mutual-release"/>
    <w:p>
      <w:pPr>
        <w:pStyle w:val="Heading2"/>
      </w:pPr>
      <w:r>
        <w:t xml:space="preserve">7. Mutual Release</w:t>
      </w:r>
    </w:p>
    <w:p>
      <w:pPr>
        <w:pStyle w:val="FirstParagraph"/>
      </w:pPr>
      <w:r>
        <w:rPr>
          <w:b/>
          <w:bCs/>
        </w:rPr>
        <w:t xml:space="preserve">7.1 Release by Atticus Dundee.</w:t>
      </w:r>
      <w:r>
        <w:t xml:space="preserve"> </w:t>
      </w:r>
      <w:r>
        <w:t xml:space="preserve">Effective on CloudHost’s payment of the first installment under Section 3.2(a), the Releasing Parties of Atticus Dundee irrevocably and unconditionally release, acquit, and forever discharge the Releasing Parties of CloudHost from any and all Claims that the Releasing Parties of Atticus Dundee have, ever had, or may have, arising out of or relating in any way to the HSA, the SLA, the outages described in Recital D and Exhibit A, the Claimed Damages, the termination of the HSA, or the transition of Atticus Dundee’s environments, in each case arising from any act, omission, fact, or circumstance occurring on or before the Effective Date (the</w:t>
      </w:r>
      <w:r>
        <w:t xml:space="preserve"> </w:t>
      </w:r>
      <w:r>
        <w:t xml:space="preserve">“</w:t>
      </w:r>
      <w:r>
        <w:rPr>
          <w:b/>
          <w:bCs/>
        </w:rPr>
        <w:t xml:space="preserve">Released Claims</w:t>
      </w:r>
      <w:r>
        <w:t xml:space="preserve">”</w:t>
      </w:r>
      <w:r>
        <w:t xml:space="preserve">).</w:t>
      </w:r>
    </w:p>
    <w:p>
      <w:pPr>
        <w:pStyle w:val="BodyText"/>
      </w:pPr>
      <w:r>
        <w:rPr>
          <w:b/>
          <w:bCs/>
        </w:rPr>
        <w:t xml:space="preserve">7.2 Release by CloudHost.</w:t>
      </w:r>
      <w:r>
        <w:t xml:space="preserve"> </w:t>
      </w:r>
      <w:r>
        <w:t xml:space="preserve">Effective on the Effective Date, the Releasing Parties of CloudHost irrevocably and unconditionally release, acquit, and forever discharge the Releasing Parties of Atticus Dundee from any and all Claims that the Releasing Parties of CloudHost have, ever had, or may have, arising out of or relating in any way to the HSA, the SLA, the invoices waived under Section 4.1, the termination of the HSA, or the transition of Atticus Dundee’s environments, in each case arising from any act, omission, fact, or circumstance occurring on or before the Effective Date.</w:t>
      </w:r>
    </w:p>
    <w:p>
      <w:pPr>
        <w:pStyle w:val="BodyText"/>
      </w:pPr>
      <w:r>
        <w:rPr>
          <w:b/>
          <w:bCs/>
        </w:rPr>
        <w:t xml:space="preserve">7.3 Unknown Claims.</w:t>
      </w:r>
      <w:r>
        <w:t xml:space="preserve"> </w:t>
      </w:r>
      <w:r>
        <w:t xml:space="preserve">Each Party acknowledges that it may later discover facts different from or in addition to those it now knows or believes to be true concerning the subject matter of the Released Claims, and agrees that this Agreement remains effective in all respects notwithstanding that discovery. Each Party expressly waives, to the fullest extent permitted by applicable law, any right or benefit under any statute, rule, or common-law principle that would limit the effect of a general release to claims that the releasing party knows or suspects to exist in its favor at the time of executing the release.</w:t>
      </w:r>
    </w:p>
    <w:p>
      <w:pPr>
        <w:pStyle w:val="BodyText"/>
      </w:pPr>
      <w:r>
        <w:rPr>
          <w:b/>
          <w:bCs/>
        </w:rPr>
        <w:t xml:space="preserve">7.4 Carve-Outs.</w:t>
      </w:r>
      <w:r>
        <w:t xml:space="preserve"> </w:t>
      </w:r>
      <w:r>
        <w:t xml:space="preserve">The releases in Sections 7.1 and 7.2 do not release, and the Released Claims do not include: (a) any Claim arising from a breach of this Agreement; (b) any obligation created by this Agreement, including the obligation to pay the Settlement Payment; (c) any Claim arising from an act, omission, fact, or circumstance first occurring after the Effective Date, including any breach of the surviving HSA provisions identified in Section 5.5 occurring after the Effective Date; (d) any Claim for indemnification under Section 9; or (e) any right of a Party under an insurance policy issued to that Party.</w:t>
      </w:r>
    </w:p>
    <w:p>
      <w:pPr>
        <w:pStyle w:val="BodyText"/>
      </w:pPr>
      <w:r>
        <w:rPr>
          <w:b/>
          <w:bCs/>
        </w:rPr>
        <w:t xml:space="preserve">7.5 No Assignment of Claims.</w:t>
      </w:r>
      <w:r>
        <w:t xml:space="preserve"> </w:t>
      </w:r>
      <w:r>
        <w:t xml:space="preserve">Each Party represents that it has not assigned, transferred, or purported to assign or transfer any Released Claim to any person, and will indemnify the other Party against any Claim asserted by a purported assignee of a Released Claim from that Party.</w:t>
      </w:r>
    </w:p>
    <w:bookmarkEnd w:id="16"/>
    <w:bookmarkStart w:id="17" w:name="covenant-not-to-sue"/>
    <w:p>
      <w:pPr>
        <w:pStyle w:val="Heading2"/>
      </w:pPr>
      <w:r>
        <w:t xml:space="preserve">8. Covenant Not to Sue</w:t>
      </w:r>
    </w:p>
    <w:p>
      <w:pPr>
        <w:pStyle w:val="FirstParagraph"/>
      </w:pPr>
      <w:r>
        <w:rPr>
          <w:b/>
          <w:bCs/>
        </w:rPr>
        <w:t xml:space="preserve">8.1 Covenant.</w:t>
      </w:r>
      <w:r>
        <w:t xml:space="preserve"> </w:t>
      </w:r>
      <w:r>
        <w:t xml:space="preserve">Each Party covenants that it will not commence, prosecute, maintain, or knowingly assist any other person in commencing, prosecuting, or maintaining any action, suit, arbitration, or proceeding against the other Party or its Releasing Parties asserting any Released Claim.</w:t>
      </w:r>
    </w:p>
    <w:p>
      <w:pPr>
        <w:pStyle w:val="BodyText"/>
      </w:pPr>
      <w:r>
        <w:rPr>
          <w:b/>
          <w:bCs/>
        </w:rPr>
        <w:t xml:space="preserve">8.2 Cooperation with Legal Process.</w:t>
      </w:r>
      <w:r>
        <w:t xml:space="preserve"> </w:t>
      </w:r>
      <w:r>
        <w:t xml:space="preserve">Nothing in this Agreement prevents a Party from responding truthfully to a subpoena, court order, or lawful request from a governmental or regulatory authority, or from making any disclosure required by applicable law. A Party that receives such a request seeking disclosure of the Confidential Terms will, unless prohibited by law, give the other Party prompt written notice and a reasonable opportunity to seek a protective order at its own expense.</w:t>
      </w:r>
    </w:p>
    <w:p>
      <w:pPr>
        <w:pStyle w:val="BodyText"/>
      </w:pPr>
      <w:r>
        <w:rPr>
          <w:b/>
          <w:bCs/>
        </w:rPr>
        <w:t xml:space="preserve">8.3 Remedy for Breach of Covenant.</w:t>
      </w:r>
      <w:r>
        <w:t xml:space="preserve"> </w:t>
      </w:r>
      <w:r>
        <w:t xml:space="preserve">If a Party breaches Section 8.1, the other Party may recover its reasonable attorneys’ fees and costs incurred in defending the action, in addition to any other remedy available under this Agreement or at law.</w:t>
      </w:r>
    </w:p>
    <w:bookmarkEnd w:id="17"/>
    <w:bookmarkStart w:id="18" w:name="X0d6b83b95e16b5b0fed5690174f259d12fb7798"/>
    <w:p>
      <w:pPr>
        <w:pStyle w:val="Heading2"/>
      </w:pPr>
      <w:r>
        <w:t xml:space="preserve">9. Third-Party Intellectual Property Indemnification</w:t>
      </w:r>
    </w:p>
    <w:p>
      <w:pPr>
        <w:pStyle w:val="FirstParagraph"/>
      </w:pPr>
      <w:r>
        <w:rPr>
          <w:b/>
          <w:bCs/>
        </w:rPr>
        <w:t xml:space="preserve">9.1 Indemnity.</w:t>
      </w:r>
      <w:r>
        <w:t xml:space="preserve"> </w:t>
      </w:r>
      <w:r>
        <w:t xml:space="preserve">CloudHost will, at its sole cost and expense, defend Atticus Dundee, its affiliates, and their respective officers, directors, employees, and agents against any third-party claim, demand, suit, or proceeding alleging that the Migration Materials, or Atticus Dundee’s use of the Migration Materials as permitted by Section 5.3, infringe or misappropriate that third party’s patent, copyright, trademark, or trade secret rights, and will indemnify and hold harmless those persons from and against all damages, liabilities, settlements, costs, and expenses, including reasonable attorneys’ fees, finally awarded against them or agreed in settlement in connection with that claim.</w:t>
      </w:r>
    </w:p>
    <w:p>
      <w:pPr>
        <w:pStyle w:val="BodyText"/>
      </w:pPr>
      <w:r>
        <w:rPr>
          <w:b/>
          <w:bCs/>
        </w:rPr>
        <w:t xml:space="preserve">9.2 Procedure.</w:t>
      </w:r>
      <w:r>
        <w:t xml:space="preserve"> </w:t>
      </w:r>
      <w:r>
        <w:t xml:space="preserve">Atticus Dundee will give CloudHost prompt written notice of any claim for which indemnity is sought under Section 9.1, provided that a delay in notice relieves CloudHost of its obligations only to the extent CloudHost is materially prejudiced by the delay. CloudHost will have sole control of the defense and settlement of the claim, except that CloudHost may not settle a claim in a manner that imposes any non-monetary obligation, admission of liability, or unindemnified payment on Atticus Dundee without Atticus Dundee’s prior written consent, which will not be unreasonably withheld. Atticus Dundee will provide reasonable cooperation at CloudHost’s expense and may participate in the defense at its own expense with counsel of its choosing.</w:t>
      </w:r>
    </w:p>
    <w:p>
      <w:pPr>
        <w:pStyle w:val="BodyText"/>
      </w:pPr>
      <w:r>
        <w:rPr>
          <w:b/>
          <w:bCs/>
        </w:rPr>
        <w:t xml:space="preserve">9.3 Mitigation.</w:t>
      </w:r>
      <w:r>
        <w:t xml:space="preserve"> </w:t>
      </w:r>
      <w:r>
        <w:t xml:space="preserve">If the Migration Materials become, or in CloudHost’s reasonable opinion are likely to become, the subject of a claim covered by Section 9.1, CloudHost may, at its option and expense, procure for Atticus Dundee the right to continue using the affected Migration Materials, or modify or replace them so that they are non-infringing while remaining materially equivalent in function. CloudHost may not require Atticus Dundee to cease using the Migration Materials, and no such cessation limits CloudHost’s obligations under Section 9.1.</w:t>
      </w:r>
    </w:p>
    <w:p>
      <w:pPr>
        <w:pStyle w:val="BodyText"/>
      </w:pPr>
      <w:r>
        <w:rPr>
          <w:b/>
          <w:bCs/>
        </w:rPr>
        <w:t xml:space="preserve">9.4 Exclusions.</w:t>
      </w:r>
      <w:r>
        <w:t xml:space="preserve"> </w:t>
      </w:r>
      <w:r>
        <w:t xml:space="preserve">CloudHost has no obligation under Section 9.1 to the extent a claim arises from (a) modification of the Migration Materials by anyone other than CloudHost, where the claim would have been avoided but for that modification; (b) combination of the Migration Materials with software, services, or data not provided by CloudHost, where the claim would have been avoided but for that combination; or (c) Atticus Dundee’s data or content processed using the Migration Materials.</w:t>
      </w:r>
    </w:p>
    <w:p>
      <w:pPr>
        <w:pStyle w:val="BodyText"/>
      </w:pPr>
      <w:r>
        <w:rPr>
          <w:b/>
          <w:bCs/>
        </w:rPr>
        <w:t xml:space="preserve">9.5 Cap on Indemnification.</w:t>
      </w:r>
      <w:r>
        <w:t xml:space="preserve"> </w:t>
      </w:r>
      <w:r>
        <w:t xml:space="preserve">CloudHost’s aggregate liability under this Section 9 will not exceed five hundred thousand dollars ($500,000). This cap is separate from, and is not reduced by, the Settlement Payment.</w:t>
      </w:r>
    </w:p>
    <w:p>
      <w:pPr>
        <w:pStyle w:val="BodyText"/>
      </w:pPr>
      <w:r>
        <w:rPr>
          <w:b/>
          <w:bCs/>
        </w:rPr>
        <w:t xml:space="preserve">9.6 Survival.</w:t>
      </w:r>
      <w:r>
        <w:t xml:space="preserve"> </w:t>
      </w:r>
      <w:r>
        <w:t xml:space="preserve">This Section 9 survives for three (3) years after the Effective Date in respect of claims first asserted during that period.</w:t>
      </w:r>
    </w:p>
    <w:bookmarkEnd w:id="18"/>
    <w:bookmarkStart w:id="19" w:name="limitation-of-liability"/>
    <w:p>
      <w:pPr>
        <w:pStyle w:val="Heading2"/>
      </w:pPr>
      <w:r>
        <w:t xml:space="preserve">10. Limitation of Liability</w:t>
      </w:r>
    </w:p>
    <w:p>
      <w:pPr>
        <w:pStyle w:val="FirstParagraph"/>
      </w:pPr>
      <w:r>
        <w:rPr>
          <w:b/>
          <w:bCs/>
        </w:rPr>
        <w:t xml:space="preserve">10.1 Waiver of Consequential Damages.</w:t>
      </w:r>
      <w:r>
        <w:t xml:space="preserve"> </w:t>
      </w:r>
      <w:r>
        <w:t xml:space="preserve">Neither Party is liable to the other for indirect, incidental, special, consequential, exemplary, or punitive damages, or for loss of profits, loss of revenue, loss of business opportunity, or loss of goodwill, arising out of or relating to this Agreement, however caused and under any theory of liability.</w:t>
      </w:r>
    </w:p>
    <w:p>
      <w:pPr>
        <w:pStyle w:val="BodyText"/>
      </w:pPr>
      <w:r>
        <w:rPr>
          <w:b/>
          <w:bCs/>
        </w:rPr>
        <w:t xml:space="preserve">10.2 Cap.</w:t>
      </w:r>
      <w:r>
        <w:t xml:space="preserve"> </w:t>
      </w:r>
      <w:r>
        <w:t xml:space="preserve">Except as provided in Section 10.3, each Party’s aggregate liability arising out of or relating to this Agreement will not exceed two hundred fifty thousand dollars ($250,000).</w:t>
      </w:r>
    </w:p>
    <w:p>
      <w:pPr>
        <w:pStyle w:val="BodyText"/>
      </w:pPr>
      <w:r>
        <w:rPr>
          <w:b/>
          <w:bCs/>
        </w:rPr>
        <w:t xml:space="preserve">10.3 Exceptions.</w:t>
      </w:r>
      <w:r>
        <w:t xml:space="preserve"> </w:t>
      </w:r>
      <w:r>
        <w:t xml:space="preserve">Section 10.1 and Section 10.2 do not apply to: (a) CloudHost’s obligation to pay the Settlement Payment, together with interest under Section 3.4 and any amount recoverable under Section 17; (b) CloudHost’s indemnification obligations under Section 9, which are subject to the separate cap in Section 9.5; (c) a Party’s breach of Section 13 (Confidentiality) or Section 14 (Non-Disparagement); or (d) a Party’s fraud, gross negligence, or willful misconduct.</w:t>
      </w:r>
    </w:p>
    <w:p>
      <w:pPr>
        <w:pStyle w:val="BodyText"/>
      </w:pPr>
      <w:r>
        <w:rPr>
          <w:b/>
          <w:bCs/>
        </w:rPr>
        <w:t xml:space="preserve">10.4 Relationship to the HSA.</w:t>
      </w:r>
      <w:r>
        <w:t xml:space="preserve"> </w:t>
      </w:r>
      <w:r>
        <w:t xml:space="preserve">The limitations of liability in the HSA, including Sections 11.2 and 11.3 of the HSA, do not apply to this Agreement, and nothing in this Section 10 is an acknowledgment by either Party that those provisions did or did not apply to the Released Claims.</w:t>
      </w:r>
    </w:p>
    <w:bookmarkEnd w:id="19"/>
    <w:bookmarkStart w:id="20" w:name="no-admission-of-liability"/>
    <w:p>
      <w:pPr>
        <w:pStyle w:val="Heading2"/>
      </w:pPr>
      <w:r>
        <w:t xml:space="preserve">11. No Admission of Liability</w:t>
      </w:r>
    </w:p>
    <w:p>
      <w:pPr>
        <w:pStyle w:val="FirstParagraph"/>
      </w:pPr>
      <w:r>
        <w:rPr>
          <w:b/>
          <w:bCs/>
        </w:rPr>
        <w:t xml:space="preserve">11.1 No Admission.</w:t>
      </w:r>
      <w:r>
        <w:t xml:space="preserve"> </w:t>
      </w:r>
      <w:r>
        <w:t xml:space="preserve">This Agreement is a compromise of disputed claims. Neither this Agreement, nor its negotiation, execution, or performance, is or may be construed as an admission by either Party of any liability, wrongdoing, breach, or deficiency in performance, and each Party expressly denies any liability to the other.</w:t>
      </w:r>
    </w:p>
    <w:p>
      <w:pPr>
        <w:pStyle w:val="BodyText"/>
      </w:pPr>
      <w:r>
        <w:rPr>
          <w:b/>
          <w:bCs/>
        </w:rPr>
        <w:t xml:space="preserve">11.2 Inadmissibility.</w:t>
      </w:r>
      <w:r>
        <w:t xml:space="preserve"> </w:t>
      </w:r>
      <w:r>
        <w:t xml:space="preserve">This Agreement and the negotiations leading to it are settlement communications within the meaning of Rule 408 of the Federal Rules of Evidence and any comparable rule of any state, and may not be offered or received in evidence in any proceeding for any purpose other than to enforce this Agreement or to establish the existence and scope of the releases in Section 7.</w:t>
      </w:r>
    </w:p>
    <w:bookmarkEnd w:id="20"/>
    <w:bookmarkStart w:id="21" w:name="representations-and-warranties"/>
    <w:p>
      <w:pPr>
        <w:pStyle w:val="Heading2"/>
      </w:pPr>
      <w:r>
        <w:t xml:space="preserve">12. Representations and Warranties</w:t>
      </w:r>
    </w:p>
    <w:p>
      <w:pPr>
        <w:pStyle w:val="FirstParagraph"/>
      </w:pPr>
      <w:r>
        <w:rPr>
          <w:b/>
          <w:bCs/>
        </w:rPr>
        <w:t xml:space="preserve">12.1 Authority.</w:t>
      </w:r>
      <w:r>
        <w:t xml:space="preserve"> </w:t>
      </w:r>
      <w:r>
        <w:t xml:space="preserve">Each Party represents and warrants that it is duly organized, validly existing, and in good standing under the laws of the State of Delaware, that it has full corporate power and authority to enter into and perform this Agreement, that the execution of this Agreement has been duly authorized by all necessary corporate action, and that the individual signing on its behalf is duly authorized to bind it.</w:t>
      </w:r>
    </w:p>
    <w:p>
      <w:pPr>
        <w:pStyle w:val="BodyText"/>
      </w:pPr>
      <w:r>
        <w:rPr>
          <w:b/>
          <w:bCs/>
        </w:rPr>
        <w:t xml:space="preserve">12.2 No Prior Assignment.</w:t>
      </w:r>
      <w:r>
        <w:t xml:space="preserve"> </w:t>
      </w:r>
      <w:r>
        <w:t xml:space="preserve">Each Party represents and warrants that it is the sole owner of the Claims it releases in Section 7 and has not assigned, pledged, or otherwise transferred any of them.</w:t>
      </w:r>
    </w:p>
    <w:p>
      <w:pPr>
        <w:pStyle w:val="BodyText"/>
      </w:pPr>
      <w:r>
        <w:rPr>
          <w:b/>
          <w:bCs/>
        </w:rPr>
        <w:t xml:space="preserve">12.3 No Insolvency Proceeding.</w:t>
      </w:r>
      <w:r>
        <w:t xml:space="preserve"> </w:t>
      </w:r>
      <w:r>
        <w:t xml:space="preserve">Each Party represents and warrants that it is not the subject of any pending or, to its knowledge, threatened bankruptcy, receivership, or similar insolvency proceeding, and that it is not entering into this Agreement with the intent to hinder, delay, or defraud any creditor.</w:t>
      </w:r>
    </w:p>
    <w:p>
      <w:pPr>
        <w:pStyle w:val="BodyText"/>
      </w:pPr>
      <w:r>
        <w:rPr>
          <w:b/>
          <w:bCs/>
        </w:rPr>
        <w:t xml:space="preserve">12.4 Independent Investigation and Counsel.</w:t>
      </w:r>
      <w:r>
        <w:t xml:space="preserve"> </w:t>
      </w:r>
      <w:r>
        <w:t xml:space="preserve">Each Party represents and warrants that it has read this Agreement in its entirety, has had a full and fair opportunity to consult with counsel of its own choosing concerning its meaning and effect, has relied on its own judgment and investigation and not on any representation of the other Party except those expressly set out in this Agreement, and enters into this Agreement voluntarily.</w:t>
      </w:r>
    </w:p>
    <w:p>
      <w:pPr>
        <w:pStyle w:val="BodyText"/>
      </w:pPr>
      <w:r>
        <w:rPr>
          <w:b/>
          <w:bCs/>
        </w:rPr>
        <w:t xml:space="preserve">12.5 No Reliance on Tax Advice.</w:t>
      </w:r>
      <w:r>
        <w:t xml:space="preserve"> </w:t>
      </w:r>
      <w:r>
        <w:t xml:space="preserve">Each Party represents and warrants that it has not relied on the other Party for any tax advice in connection with this Agreement.</w:t>
      </w:r>
    </w:p>
    <w:p>
      <w:pPr>
        <w:pStyle w:val="BodyText"/>
      </w:pPr>
      <w:r>
        <w:rPr>
          <w:b/>
          <w:bCs/>
        </w:rPr>
        <w:t xml:space="preserve">12.6 Survival.</w:t>
      </w:r>
      <w:r>
        <w:t xml:space="preserve"> </w:t>
      </w:r>
      <w:r>
        <w:t xml:space="preserve">The representations and warranties in this Section 12 survive the Effective Date.</w:t>
      </w:r>
    </w:p>
    <w:bookmarkEnd w:id="21"/>
    <w:bookmarkStart w:id="22" w:name="confidentiality"/>
    <w:p>
      <w:pPr>
        <w:pStyle w:val="Heading2"/>
      </w:pPr>
      <w:r>
        <w:t xml:space="preserve">13. Confidentiality</w:t>
      </w:r>
    </w:p>
    <w:p>
      <w:pPr>
        <w:pStyle w:val="FirstParagraph"/>
      </w:pPr>
      <w:r>
        <w:rPr>
          <w:b/>
          <w:bCs/>
        </w:rPr>
        <w:t xml:space="preserve">13.1 Confidential Terms.</w:t>
      </w:r>
      <w:r>
        <w:t xml:space="preserve"> </w:t>
      </w:r>
      <w:r>
        <w:t xml:space="preserve">Each Party will keep the Confidential Terms confidential and will not disclose them to any third party, except: (a) to its officers, directors, employees, accountants, auditors, insurers, tax advisors, and attorneys who have a need to know and who are informed of the confidential nature of the information; (b) to the extent required by applicable law, regulation, stock exchange rule, or judicial or governmental order, subject to Section 8.2; (c) in connection with the enforcement of this Agreement; (d) to a bona fide prospective acquirer, investor, or lender, under an obligation of confidentiality; and (e) with the other Party’s prior written consent.</w:t>
      </w:r>
    </w:p>
    <w:p>
      <w:pPr>
        <w:pStyle w:val="BodyText"/>
      </w:pPr>
      <w:r>
        <w:rPr>
          <w:b/>
          <w:bCs/>
        </w:rPr>
        <w:t xml:space="preserve">13.2 Permitted Statement.</w:t>
      </w:r>
      <w:r>
        <w:t xml:space="preserve"> </w:t>
      </w:r>
      <w:r>
        <w:t xml:space="preserve">Either Party may state, without breaching this Section 13, that</w:t>
      </w:r>
      <w:r>
        <w:t xml:space="preserve"> </w:t>
      </w:r>
      <w:r>
        <w:t xml:space="preserve">“the matter has been resolved to the mutual satisfaction of the parties”</w:t>
      </w:r>
      <w:r>
        <w:t xml:space="preserve"> </w:t>
      </w:r>
      <w:r>
        <w:t xml:space="preserve">or words to that effect. If either Party is required to make a public statement about the matter, it will use the joint statement attached as</w:t>
      </w:r>
      <w:r>
        <w:t xml:space="preserve"> </w:t>
      </w:r>
      <w:r>
        <w:rPr>
          <w:b/>
          <w:bCs/>
        </w:rPr>
        <w:t xml:space="preserve">Exhibit C</w:t>
      </w:r>
      <w:r>
        <w:t xml:space="preserve">, subject to any modification required by applicable law.</w:t>
      </w:r>
    </w:p>
    <w:p>
      <w:pPr>
        <w:pStyle w:val="BodyText"/>
      </w:pPr>
      <w:r>
        <w:rPr>
          <w:b/>
          <w:bCs/>
        </w:rPr>
        <w:t xml:space="preserve">13.3 Existence of the Agreement.</w:t>
      </w:r>
      <w:r>
        <w:t xml:space="preserve"> </w:t>
      </w:r>
      <w:r>
        <w:t xml:space="preserve">The existence of this Agreement is not itself a Confidential Term, and either Party may disclose that the dispute has been resolved.</w:t>
      </w:r>
    </w:p>
    <w:p>
      <w:pPr>
        <w:pStyle w:val="BodyText"/>
      </w:pPr>
      <w:r>
        <w:rPr>
          <w:b/>
          <w:bCs/>
        </w:rPr>
        <w:t xml:space="preserve">13.4 Duration.</w:t>
      </w:r>
      <w:r>
        <w:t xml:space="preserve"> </w:t>
      </w:r>
      <w:r>
        <w:t xml:space="preserve">The obligations in this Section 13 continue for three (3) years after the Effective Date, except that the obligation to protect the amount of the Settlement Payment continues indefinitely.</w:t>
      </w:r>
    </w:p>
    <w:bookmarkEnd w:id="22"/>
    <w:bookmarkStart w:id="23" w:name="non-disparagement"/>
    <w:p>
      <w:pPr>
        <w:pStyle w:val="Heading2"/>
      </w:pPr>
      <w:r>
        <w:t xml:space="preserve">14. Non-Disparagement</w:t>
      </w:r>
    </w:p>
    <w:p>
      <w:pPr>
        <w:pStyle w:val="FirstParagraph"/>
      </w:pPr>
      <w:r>
        <w:t xml:space="preserve">Neither Party will make, or authorize any of its officers or directors to make, any statement to any customer, prospective customer, analyst, investor, journalist, or member of the public that disparages the other Party, its products or services, or its personnel, in connection with the HSA, the outages, or the dispute resolved by this Agreement. This Section 14 does not restrict (a) truthful statements made in response to a subpoena, court order, or lawful request from a governmental or regulatory authority, (b) truthful statements made in a proceeding to enforce this Agreement, (c) internal communications not disclosed to a third party, or (d) ordinary competitive statements about product or service capabilities that do not reference the outages or this dispute.</w:t>
      </w:r>
    </w:p>
    <w:bookmarkEnd w:id="23"/>
    <w:bookmarkStart w:id="24" w:name="notices"/>
    <w:p>
      <w:pPr>
        <w:pStyle w:val="Heading2"/>
      </w:pPr>
      <w:r>
        <w:t xml:space="preserve">15. Notices</w:t>
      </w:r>
    </w:p>
    <w:p>
      <w:pPr>
        <w:pStyle w:val="FirstParagraph"/>
      </w:pPr>
      <w:r>
        <w:t xml:space="preserve">All notices under this Agreement must be in writing and are effective on personal delivery, one (1) Business Day after deposit with a nationally recognized overnight courier with tracking, or three (3) Business Days after deposit in the U.S. mail, certified or registered, return receipt requested. A copy of any notice sent by courier or mail may also be sent by email, but email alone is not effective notice under this Agreement. Notices must be addressed as follows:</w:t>
      </w:r>
    </w:p>
    <w:p>
      <w:pPr>
        <w:pStyle w:val="BodyText"/>
      </w:pPr>
      <w:r>
        <w:rPr>
          <w:b/>
          <w:bCs/>
        </w:rPr>
        <w:t xml:space="preserve">If to Atticus Dundee:</w:t>
      </w:r>
      <w:r>
        <w:t xml:space="preserve"> </w:t>
      </w:r>
      <w:r>
        <w:t xml:space="preserve">Atticus Dundee Inc.</w:t>
      </w:r>
      <w:r>
        <w:t xml:space="preserve"> </w:t>
      </w:r>
      <w:r>
        <w:t xml:space="preserve">1450 Halverson Quay, Suite 600</w:t>
      </w:r>
      <w:r>
        <w:t xml:space="preserve"> </w:t>
      </w:r>
      <w:r>
        <w:t xml:space="preserve">Wilmington, Delaware 19801</w:t>
      </w:r>
      <w:r>
        <w:t xml:space="preserve"> </w:t>
      </w:r>
      <w:r>
        <w:t xml:space="preserve">Attention: General Counsel</w:t>
      </w:r>
    </w:p>
    <w:p>
      <w:pPr>
        <w:pStyle w:val="BodyText"/>
      </w:pPr>
      <w:r>
        <w:t xml:space="preserve">with a copy (which does not constitute notice) to:</w:t>
      </w:r>
      <w:r>
        <w:t xml:space="preserve"> </w:t>
      </w:r>
      <w:r>
        <w:t xml:space="preserve">Atticus Dundee LLP</w:t>
      </w:r>
      <w:r>
        <w:t xml:space="preserve"> </w:t>
      </w:r>
      <w:r>
        <w:t xml:space="preserve">300 Ferris Wharf, Suite 2100</w:t>
      </w:r>
      <w:r>
        <w:t xml:space="preserve"> </w:t>
      </w:r>
      <w:r>
        <w:t xml:space="preserve">Wilmington, Delaware 19801</w:t>
      </w:r>
      <w:r>
        <w:t xml:space="preserve"> </w:t>
      </w:r>
      <w:r>
        <w:t xml:space="preserve">Attention: Amara Diallo-Reyes</w:t>
      </w:r>
    </w:p>
    <w:p>
      <w:pPr>
        <w:pStyle w:val="BodyText"/>
      </w:pPr>
      <w:r>
        <w:rPr>
          <w:b/>
          <w:bCs/>
        </w:rPr>
        <w:t xml:space="preserve">If to CloudHost:</w:t>
      </w:r>
      <w:r>
        <w:t xml:space="preserve"> </w:t>
      </w:r>
      <w:r>
        <w:t xml:space="preserve">CloudHost Inc.</w:t>
      </w:r>
      <w:r>
        <w:t xml:space="preserve"> </w:t>
      </w:r>
      <w:r>
        <w:t xml:space="preserve">990 Ironwood Terrace</w:t>
      </w:r>
      <w:r>
        <w:t xml:space="preserve"> </w:t>
      </w:r>
      <w:r>
        <w:t xml:space="preserve">Reston, Virginia 20190</w:t>
      </w:r>
      <w:r>
        <w:t xml:space="preserve"> </w:t>
      </w:r>
      <w:r>
        <w:t xml:space="preserve">Attention: General Counsel</w:t>
      </w:r>
    </w:p>
    <w:p>
      <w:pPr>
        <w:pStyle w:val="BodyText"/>
      </w:pPr>
      <w:r>
        <w:t xml:space="preserve">Either Party may change its notice address by written notice given in accordance with this Section 15.</w:t>
      </w:r>
    </w:p>
    <w:bookmarkEnd w:id="24"/>
    <w:bookmarkStart w:id="25" w:name="Xe7ca9d31849928f08a70ac809cb44e340805f09"/>
    <w:p>
      <w:pPr>
        <w:pStyle w:val="Heading2"/>
      </w:pPr>
      <w:r>
        <w:t xml:space="preserve">16. Governing Law, Venue, and Dispute Resolution</w:t>
      </w:r>
    </w:p>
    <w:p>
      <w:pPr>
        <w:pStyle w:val="FirstParagraph"/>
      </w:pPr>
      <w:r>
        <w:rPr>
          <w:b/>
          <w:bCs/>
        </w:rPr>
        <w:t xml:space="preserve">16.1 Governing Law.</w:t>
      </w:r>
      <w:r>
        <w:t xml:space="preserve"> </w:t>
      </w:r>
      <w:r>
        <w:t xml:space="preserve">This Agreement is governed by and construed in accordance with the laws of the State of Delaware, without regard to its conflict-of-laws principles.</w:t>
      </w:r>
    </w:p>
    <w:p>
      <w:pPr>
        <w:pStyle w:val="BodyText"/>
      </w:pPr>
      <w:r>
        <w:rPr>
          <w:b/>
          <w:bCs/>
        </w:rPr>
        <w:t xml:space="preserve">16.2 Escalation.</w:t>
      </w:r>
      <w:r>
        <w:t xml:space="preserve"> </w:t>
      </w:r>
      <w:r>
        <w:t xml:space="preserve">Before commencing any proceeding to enforce this Agreement, other than a proceeding seeking injunctive relief or a proceeding to collect an unpaid installment of the Settlement Payment, the complaining Party will give the other Party written notice describing the alleged breach, and the Parties will confer in good faith for fifteen (15) Business Days to attempt to resolve it.</w:t>
      </w:r>
    </w:p>
    <w:p>
      <w:pPr>
        <w:pStyle w:val="BodyText"/>
      </w:pPr>
      <w:r>
        <w:rPr>
          <w:b/>
          <w:bCs/>
        </w:rPr>
        <w:t xml:space="preserve">16.3 Venue.</w:t>
      </w:r>
      <w:r>
        <w:t xml:space="preserve"> </w:t>
      </w:r>
      <w:r>
        <w:t xml:space="preserve">Each Party irrevocably submits to the exclusive jurisdiction of the state and federal courts located in New Castle County, Delaware for any proceeding arising out of or relating to this Agreement, and waives any objection to venue in those courts, including any objection based on forum non conveniens.</w:t>
      </w:r>
    </w:p>
    <w:p>
      <w:pPr>
        <w:pStyle w:val="BodyText"/>
      </w:pPr>
      <w:r>
        <w:rPr>
          <w:b/>
          <w:bCs/>
        </w:rPr>
        <w:t xml:space="preserve">16.4 Jury Waiver.</w:t>
      </w:r>
      <w:r>
        <w:t xml:space="preserve"> </w:t>
      </w:r>
      <w:r>
        <w:t xml:space="preserve">EACH PARTY IRREVOCABLY WAIVES ANY RIGHT TO TRIAL BY JURY IN ANY PROCEEDING ARISING OUT OF OR RELATING TO THIS AGREEMENT.</w:t>
      </w:r>
    </w:p>
    <w:bookmarkEnd w:id="25"/>
    <w:bookmarkStart w:id="26" w:name="remedies-for-breach-of-this-agreement"/>
    <w:p>
      <w:pPr>
        <w:pStyle w:val="Heading2"/>
      </w:pPr>
      <w:r>
        <w:t xml:space="preserve">17. Remedies for Breach of this Agreement</w:t>
      </w:r>
    </w:p>
    <w:p>
      <w:pPr>
        <w:pStyle w:val="FirstParagraph"/>
      </w:pPr>
      <w:r>
        <w:rPr>
          <w:b/>
          <w:bCs/>
        </w:rPr>
        <w:t xml:space="preserve">17.1 Enforcement.</w:t>
      </w:r>
      <w:r>
        <w:t xml:space="preserve"> </w:t>
      </w:r>
      <w:r>
        <w:t xml:space="preserve">In any proceeding to enforce this Agreement, the prevailing Party is entitled to recover its reasonable attorneys’ fees, expert fees, and costs, in addition to any other relief awarded.</w:t>
      </w:r>
    </w:p>
    <w:p>
      <w:pPr>
        <w:pStyle w:val="BodyText"/>
      </w:pPr>
      <w:r>
        <w:rPr>
          <w:b/>
          <w:bCs/>
        </w:rPr>
        <w:t xml:space="preserve">17.2 Specific Performance.</w:t>
      </w:r>
      <w:r>
        <w:t xml:space="preserve"> </w:t>
      </w:r>
      <w:r>
        <w:t xml:space="preserve">Each Party acknowledges that a breach of Section 6, Section 8, Section 13, or Section 14 may cause irreparable harm for which monetary damages would be an inadequate remedy, and that the non-breaching Party is entitled to seek specific performance and injunctive relief without the necessity of posting a bond, in addition to any other remedy available at law or in equity.</w:t>
      </w:r>
    </w:p>
    <w:p>
      <w:pPr>
        <w:pStyle w:val="BodyText"/>
      </w:pPr>
      <w:r>
        <w:rPr>
          <w:b/>
          <w:bCs/>
        </w:rPr>
        <w:t xml:space="preserve">17.3 Judgment for Unpaid Installments.</w:t>
      </w:r>
      <w:r>
        <w:t xml:space="preserve"> </w:t>
      </w:r>
      <w:r>
        <w:t xml:space="preserve">If CloudHost fails to pay any installment of the Settlement Payment when due and does not cure within ten (10) Business Days after written notice, Atticus Dundee may, at its election and in addition to any other remedy, apply to a court of competent jurisdiction for entry of judgment against CloudHost in the amount of the unpaid balance of the Settlement Payment, together with interest accrued under Section 3.4 and the fees and costs recoverable under Section 17.1.</w:t>
      </w:r>
    </w:p>
    <w:p>
      <w:pPr>
        <w:pStyle w:val="BodyText"/>
      </w:pPr>
      <w:r>
        <w:rPr>
          <w:b/>
          <w:bCs/>
        </w:rPr>
        <w:t xml:space="preserve">17.4 Cumulative Remedies.</w:t>
      </w:r>
      <w:r>
        <w:t xml:space="preserve"> </w:t>
      </w:r>
      <w:r>
        <w:t xml:space="preserve">The remedies in this Agreement are cumulative and are in addition to, and not in substitution for, any other remedy available at law or in equity.</w:t>
      </w:r>
    </w:p>
    <w:bookmarkEnd w:id="26"/>
    <w:bookmarkStart w:id="27" w:name="miscellaneous"/>
    <w:p>
      <w:pPr>
        <w:pStyle w:val="Heading2"/>
      </w:pPr>
      <w:r>
        <w:t xml:space="preserve">18. Miscellaneous</w:t>
      </w:r>
    </w:p>
    <w:p>
      <w:pPr>
        <w:pStyle w:val="FirstParagraph"/>
      </w:pPr>
      <w:r>
        <w:rPr>
          <w:b/>
          <w:bCs/>
        </w:rPr>
        <w:t xml:space="preserve">18.1 Entire Agreement.</w:t>
      </w:r>
      <w:r>
        <w:t xml:space="preserve"> </w:t>
      </w:r>
      <w:r>
        <w:t xml:space="preserve">This Agreement, together with its Exhibits, is the entire agreement between the Parties concerning its subject matter and supersedes all prior and contemporaneous agreements, negotiations, term sheets, and understandings, whether written or oral, concerning that subject matter, including the agreement in principle reached at the mediation described in Recital J. The Tolling Agreement is superseded and of no further force or effect, except as reinstated under Section 2.2.</w:t>
      </w:r>
    </w:p>
    <w:p>
      <w:pPr>
        <w:pStyle w:val="BodyText"/>
      </w:pPr>
      <w:r>
        <w:rPr>
          <w:b/>
          <w:bCs/>
        </w:rPr>
        <w:t xml:space="preserve">18.2 Amendment.</w:t>
      </w:r>
      <w:r>
        <w:t xml:space="preserve"> </w:t>
      </w:r>
      <w:r>
        <w:t xml:space="preserve">No amendment to this Agreement is effective unless in writing and signed by an authorized representative of each Party.</w:t>
      </w:r>
    </w:p>
    <w:p>
      <w:pPr>
        <w:pStyle w:val="BodyText"/>
      </w:pPr>
      <w:r>
        <w:rPr>
          <w:b/>
          <w:bCs/>
        </w:rPr>
        <w:t xml:space="preserve">18.3 Waiver.</w:t>
      </w:r>
      <w:r>
        <w:t xml:space="preserve"> </w:t>
      </w:r>
      <w:r>
        <w:t xml:space="preserve">No waiver of any provision of this Agreement is effective unless in writing and signed by the waiving Party. A Party’s failure or delay in exercising a right is not a waiver of that right, and a single or partial exercise does not preclude any further exercise.</w:t>
      </w:r>
    </w:p>
    <w:p>
      <w:pPr>
        <w:pStyle w:val="BodyText"/>
      </w:pPr>
      <w:r>
        <w:rPr>
          <w:b/>
          <w:bCs/>
        </w:rPr>
        <w:t xml:space="preserve">18.4 Severability.</w:t>
      </w:r>
      <w:r>
        <w:t xml:space="preserve"> </w:t>
      </w:r>
      <w:r>
        <w:t xml:space="preserve">If any provision of this Agreement is held unenforceable, that provision will be modified to the minimum extent necessary to make it enforceable, and the remaining provisions remain in full force and effect, provided that if the release in Section 7.1 is held unenforceable in whole, CloudHost may recover the Settlement Payment.</w:t>
      </w:r>
    </w:p>
    <w:p>
      <w:pPr>
        <w:pStyle w:val="BodyText"/>
      </w:pPr>
      <w:r>
        <w:rPr>
          <w:b/>
          <w:bCs/>
        </w:rPr>
        <w:t xml:space="preserve">18.5 Successors and Assigns.</w:t>
      </w:r>
      <w:r>
        <w:t xml:space="preserve"> </w:t>
      </w:r>
      <w:r>
        <w:t xml:space="preserve">This Agreement binds and benefits the Parties and their respective successors and permitted assigns. Neither Party may assign this Agreement without the other Party’s prior written consent, except that either Party may assign it in its entirety, on written notice, to a successor in connection with a merger, reorganization, or sale of all or substantially all of its assets or equity, provided the assignee assumes all obligations under this Agreement.</w:t>
      </w:r>
    </w:p>
    <w:p>
      <w:pPr>
        <w:pStyle w:val="BodyText"/>
      </w:pPr>
      <w:r>
        <w:rPr>
          <w:b/>
          <w:bCs/>
        </w:rPr>
        <w:t xml:space="preserve">18.6 No Third-Party Beneficiaries.</w:t>
      </w:r>
      <w:r>
        <w:t xml:space="preserve"> </w:t>
      </w:r>
      <w:r>
        <w:t xml:space="preserve">Except for the Releasing Parties and the persons entitled to indemnification under Section 9, this Agreement confers no rights on any person who is not a Party.</w:t>
      </w:r>
    </w:p>
    <w:p>
      <w:pPr>
        <w:pStyle w:val="BodyText"/>
      </w:pPr>
      <w:r>
        <w:rPr>
          <w:b/>
          <w:bCs/>
        </w:rPr>
        <w:t xml:space="preserve">18.7 Further Assurances.</w:t>
      </w:r>
      <w:r>
        <w:t xml:space="preserve"> </w:t>
      </w:r>
      <w:r>
        <w:t xml:space="preserve">Each Party will execute and deliver any further document and take any further action reasonably requested by the other Party to give effect to this Agreement.</w:t>
      </w:r>
    </w:p>
    <w:p>
      <w:pPr>
        <w:pStyle w:val="BodyText"/>
      </w:pPr>
      <w:r>
        <w:rPr>
          <w:b/>
          <w:bCs/>
        </w:rPr>
        <w:t xml:space="preserve">18.8 Construction.</w:t>
      </w:r>
      <w:r>
        <w:t xml:space="preserve"> </w:t>
      </w:r>
      <w:r>
        <w:t xml:space="preserve">This Agreement is the product of arm’s-length negotiation between represented Parties and will not be construed against either Party as the drafter. Section headings are for convenience only.</w:t>
      </w:r>
      <w:r>
        <w:t xml:space="preserve"> </w:t>
      </w:r>
      <w:r>
        <w:t xml:space="preserve">“Including”</w:t>
      </w:r>
      <w:r>
        <w:t xml:space="preserve"> </w:t>
      </w:r>
      <w:r>
        <w:t xml:space="preserve">means</w:t>
      </w:r>
      <w:r>
        <w:t xml:space="preserve"> </w:t>
      </w:r>
      <w:r>
        <w:t xml:space="preserve">“including without limitation.”</w:t>
      </w:r>
      <w:r>
        <w:t xml:space="preserve"> </w:t>
      </w:r>
      <w:r>
        <w:t xml:space="preserve">References to a Section, Recital, or Exhibit are to a Section or Recital of, or Exhibit to, this Agreement.</w:t>
      </w:r>
    </w:p>
    <w:p>
      <w:pPr>
        <w:pStyle w:val="BodyText"/>
      </w:pPr>
      <w:r>
        <w:rPr>
          <w:b/>
          <w:bCs/>
        </w:rPr>
        <w:t xml:space="preserve">18.9 Counterparts and Electronic Signature.</w:t>
      </w:r>
      <w:r>
        <w:t xml:space="preserve"> </w:t>
      </w:r>
      <w:r>
        <w:t xml:space="preserve">This Agreement may be executed in counterparts, each of which is an original and all of which together constitute one instrument. Signatures delivered by facsimile, portable document format, or an electronic signature platform have the same effect as original signatures.</w:t>
      </w:r>
    </w:p>
    <w:p>
      <w:pPr>
        <w:pStyle w:val="BodyText"/>
      </w:pPr>
      <w:r>
        <w:rPr>
          <w:b/>
          <w:bCs/>
        </w:rPr>
        <w:t xml:space="preserve">18.10 Exhibits.</w:t>
      </w:r>
      <w:r>
        <w:t xml:space="preserve"> </w:t>
      </w:r>
      <w:r>
        <w:t xml:space="preserve">The following Exhibits are attached to and form part of this Agreement: Exhibit A (Outage and Availability Schedule); Exhibit B (Form of Certificate of Data Deletion); Exhibit C (Joint Statement); Exhibit D (Statement of Claimed Damages); Exhibit E (Relevant Provisions of the HSA and the SLA).</w:t>
      </w:r>
    </w:p>
    <w:bookmarkEnd w:id="27"/>
    <w:bookmarkStart w:id="28" w:name="signature-page"/>
    <w:p>
      <w:pPr>
        <w:pStyle w:val="Heading2"/>
      </w:pPr>
      <w:r>
        <w:t xml:space="preserve">Signature Page</w:t>
      </w:r>
    </w:p>
    <w:p>
      <w:pPr>
        <w:pStyle w:val="FirstParagraph"/>
      </w:pPr>
      <w:r>
        <w:rPr>
          <w:b/>
          <w:bCs/>
        </w:rPr>
        <w:t xml:space="preserve">IN WITNESS WHEREOF</w:t>
      </w:r>
      <w:r>
        <w:t xml:space="preserve">, the Parties have executed this Settlement Agreement and Mutual Release as of the Effective Date.</w:t>
      </w:r>
    </w:p>
    <w:p>
      <w:pPr>
        <w:pStyle w:val="BodyText"/>
      </w:pPr>
      <w:r>
        <w:rPr>
          <w:b/>
          <w:bCs/>
        </w:rPr>
        <w:t xml:space="preserve">ATTICUS DUNDEE INC.</w:t>
      </w:r>
    </w:p>
    <w:p>
      <w:pPr>
        <w:pStyle w:val="BodyText"/>
      </w:pPr>
      <w:r>
        <w:t xml:space="preserve">By: _______________________________</w:t>
      </w:r>
    </w:p>
    <w:p>
      <w:pPr>
        <w:pStyle w:val="BodyText"/>
      </w:pPr>
      <w:r>
        <w:t xml:space="preserve">Name: Priya Raghunathan</w:t>
      </w:r>
    </w:p>
    <w:p>
      <w:pPr>
        <w:pStyle w:val="BodyText"/>
      </w:pPr>
      <w:r>
        <w:t xml:space="preserve">Title: General Counsel and Corporate Secretary</w:t>
      </w:r>
    </w:p>
    <w:p>
      <w:pPr>
        <w:pStyle w:val="BodyText"/>
      </w:pPr>
      <w:r>
        <w:t xml:space="preserve">Date: _______________________________</w:t>
      </w:r>
    </w:p>
    <w:p>
      <w:pPr>
        <w:pStyle w:val="BodyText"/>
      </w:pPr>
      <w:r>
        <w:rPr>
          <w:b/>
          <w:bCs/>
        </w:rPr>
        <w:t xml:space="preserve">CLOUDHOST INC.</w:t>
      </w:r>
    </w:p>
    <w:p>
      <w:pPr>
        <w:pStyle w:val="BodyText"/>
      </w:pPr>
      <w:r>
        <w:t xml:space="preserve">By: _______________________________</w:t>
      </w:r>
    </w:p>
    <w:p>
      <w:pPr>
        <w:pStyle w:val="BodyText"/>
      </w:pPr>
      <w:r>
        <w:t xml:space="preserve">Name: Marisol Etchegaray</w:t>
      </w:r>
    </w:p>
    <w:p>
      <w:pPr>
        <w:pStyle w:val="BodyText"/>
      </w:pPr>
      <w:r>
        <w:t xml:space="preserve">Title: Chief Executive Officer</w:t>
      </w:r>
    </w:p>
    <w:p>
      <w:pPr>
        <w:pStyle w:val="BodyText"/>
      </w:pPr>
      <w:r>
        <w:t xml:space="preserve">Date: _______________________________</w:t>
      </w:r>
    </w:p>
    <w:p>
      <w:pPr>
        <w:pStyle w:val="BodyText"/>
      </w:pPr>
      <w:r>
        <w:t xml:space="preserve">Approved as to form:</w:t>
      </w:r>
    </w:p>
    <w:p>
      <w:pPr>
        <w:pStyle w:val="BodyText"/>
      </w:pPr>
      <w:r>
        <w:rPr>
          <w:b/>
          <w:bCs/>
        </w:rPr>
        <w:t xml:space="preserve">ATTICUS DUNDEE LLP</w:t>
      </w:r>
      <w:r>
        <w:t xml:space="preserve">, counsel for Atticus Dundee Inc.</w:t>
      </w:r>
    </w:p>
    <w:p>
      <w:pPr>
        <w:pStyle w:val="BodyText"/>
      </w:pPr>
      <w:r>
        <w:t xml:space="preserve">By: _______________________________</w:t>
      </w:r>
    </w:p>
    <w:p>
      <w:pPr>
        <w:pStyle w:val="BodyText"/>
      </w:pPr>
      <w:r>
        <w:t xml:space="preserve">Name: Amara Diallo-Reyes</w:t>
      </w:r>
    </w:p>
    <w:p>
      <w:pPr>
        <w:pStyle w:val="BodyText"/>
      </w:pPr>
      <w:r>
        <w:t xml:space="preserve">Title: Partner</w:t>
      </w:r>
    </w:p>
    <w:p>
      <w:pPr>
        <w:pStyle w:val="BodyText"/>
      </w:pPr>
      <w:r>
        <w:rPr>
          <w:b/>
          <w:bCs/>
        </w:rPr>
        <w:t xml:space="preserve">OFFICE OF THE GENERAL COUNSEL, CLOUDHOST INC.</w:t>
      </w:r>
    </w:p>
    <w:p>
      <w:pPr>
        <w:pStyle w:val="BodyText"/>
      </w:pPr>
      <w:r>
        <w:t xml:space="preserve">By: _______________________________</w:t>
      </w:r>
    </w:p>
    <w:p>
      <w:pPr>
        <w:pStyle w:val="BodyText"/>
      </w:pPr>
      <w:r>
        <w:t xml:space="preserve">Name: Peter Hallowell-Boyd</w:t>
      </w:r>
    </w:p>
    <w:p>
      <w:pPr>
        <w:pStyle w:val="BodyText"/>
      </w:pPr>
      <w:r>
        <w:t xml:space="preserve">Title: General Counsel</w:t>
      </w:r>
    </w:p>
    <w:bookmarkEnd w:id="28"/>
    <w:bookmarkStart w:id="29" w:name="X7b83ed733efc23efabe81e1d7a05c1a9b812353"/>
    <w:p>
      <w:pPr>
        <w:pStyle w:val="Heading2"/>
      </w:pPr>
      <w:r>
        <w:t xml:space="preserve">Exhibit A — Outage and Availability Schedule</w:t>
      </w:r>
    </w:p>
    <w:p>
      <w:pPr>
        <w:pStyle w:val="FirstParagraph"/>
      </w:pPr>
      <w:r>
        <w:t xml:space="preserve">The following schedule records the four unplanned outages of the production environment referenced in Recital D. Availability percentages are calculated in accordance with Section 4.2 of the SLA, using total minutes in the calendar month as the denominator.</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Incident</w:t>
            </w:r>
          </w:p>
        </w:tc>
        <w:tc>
          <w:tcPr/>
          <w:p>
            <w:pPr>
              <w:pStyle w:val="Compact"/>
            </w:pPr>
            <w:r>
              <w:t xml:space="preserve">Date</w:t>
            </w:r>
          </w:p>
        </w:tc>
        <w:tc>
          <w:tcPr/>
          <w:p>
            <w:pPr>
              <w:pStyle w:val="Compact"/>
            </w:pPr>
            <w:r>
              <w:t xml:space="preserve">Start (ET)</w:t>
            </w:r>
          </w:p>
        </w:tc>
        <w:tc>
          <w:tcPr/>
          <w:p>
            <w:pPr>
              <w:pStyle w:val="Compact"/>
            </w:pPr>
            <w:r>
              <w:t xml:space="preserve">End (ET)</w:t>
            </w:r>
          </w:p>
        </w:tc>
        <w:tc>
          <w:tcPr/>
          <w:p>
            <w:pPr>
              <w:pStyle w:val="Compact"/>
            </w:pPr>
            <w:r>
              <w:t xml:space="preserve">Duration</w:t>
            </w:r>
          </w:p>
        </w:tc>
        <w:tc>
          <w:tcPr/>
          <w:p>
            <w:pPr>
              <w:pStyle w:val="Compact"/>
            </w:pPr>
            <w:r>
              <w:t xml:space="preserve">Reported cause (CloudHost)</w:t>
            </w:r>
          </w:p>
        </w:tc>
        <w:tc>
          <w:tcPr/>
          <w:p>
            <w:pPr>
              <w:pStyle w:val="Compact"/>
            </w:pPr>
            <w:r>
              <w:t xml:space="preserve">Monthly availability</w:t>
            </w:r>
          </w:p>
        </w:tc>
        <w:tc>
          <w:tcPr/>
          <w:p>
            <w:pPr>
              <w:pStyle w:val="Compact"/>
            </w:pPr>
            <w:r>
              <w:t xml:space="preserve">Credit tier applied</w:t>
            </w:r>
          </w:p>
        </w:tc>
      </w:tr>
      <w:tr>
        <w:tc>
          <w:tcPr/>
          <w:p>
            <w:pPr>
              <w:pStyle w:val="Compact"/>
            </w:pPr>
            <w:r>
              <w:t xml:space="preserve">INC-2025-0814</w:t>
            </w:r>
          </w:p>
        </w:tc>
        <w:tc>
          <w:tcPr/>
          <w:p>
            <w:pPr>
              <w:pStyle w:val="Compact"/>
            </w:pPr>
            <w:r>
              <w:t xml:space="preserve">August 14, 2025</w:t>
            </w:r>
          </w:p>
        </w:tc>
        <w:tc>
          <w:tcPr/>
          <w:p>
            <w:pPr>
              <w:pStyle w:val="Compact"/>
            </w:pPr>
            <w:r>
              <w:t xml:space="preserve">02:18</w:t>
            </w:r>
          </w:p>
        </w:tc>
        <w:tc>
          <w:tcPr/>
          <w:p>
            <w:pPr>
              <w:pStyle w:val="Compact"/>
            </w:pPr>
            <w:r>
              <w:t xml:space="preserve">06:30</w:t>
            </w:r>
          </w:p>
        </w:tc>
        <w:tc>
          <w:tcPr/>
          <w:p>
            <w:pPr>
              <w:pStyle w:val="Compact"/>
            </w:pPr>
            <w:r>
              <w:t xml:space="preserve">4h 12m</w:t>
            </w:r>
          </w:p>
        </w:tc>
        <w:tc>
          <w:tcPr/>
          <w:p>
            <w:pPr>
              <w:pStyle w:val="Compact"/>
            </w:pPr>
            <w:r>
              <w:t xml:space="preserve">Storage fabric controller failure in the primary availability zone</w:t>
            </w:r>
          </w:p>
        </w:tc>
        <w:tc>
          <w:tcPr/>
          <w:p>
            <w:pPr>
              <w:pStyle w:val="Compact"/>
            </w:pPr>
            <w:r>
              <w:t xml:space="preserve">99.44%</w:t>
            </w:r>
          </w:p>
        </w:tc>
        <w:tc>
          <w:tcPr/>
          <w:p>
            <w:pPr>
              <w:pStyle w:val="Compact"/>
            </w:pPr>
            <w:r>
              <w:t xml:space="preserve">20%</w:t>
            </w:r>
          </w:p>
        </w:tc>
      </w:tr>
      <w:tr>
        <w:tc>
          <w:tcPr/>
          <w:p>
            <w:pPr>
              <w:pStyle w:val="Compact"/>
            </w:pPr>
            <w:r>
              <w:t xml:space="preserve">INC-2025-0903</w:t>
            </w:r>
          </w:p>
        </w:tc>
        <w:tc>
          <w:tcPr/>
          <w:p>
            <w:pPr>
              <w:pStyle w:val="Compact"/>
            </w:pPr>
            <w:r>
              <w:t xml:space="preserve">September 3, 2025</w:t>
            </w:r>
          </w:p>
        </w:tc>
        <w:tc>
          <w:tcPr/>
          <w:p>
            <w:pPr>
              <w:pStyle w:val="Compact"/>
            </w:pPr>
            <w:r>
              <w:t xml:space="preserve">14:06</w:t>
            </w:r>
          </w:p>
        </w:tc>
        <w:tc>
          <w:tcPr/>
          <w:p>
            <w:pPr>
              <w:pStyle w:val="Compact"/>
            </w:pPr>
            <w:r>
              <w:t xml:space="preserve">15:53</w:t>
            </w:r>
          </w:p>
        </w:tc>
        <w:tc>
          <w:tcPr/>
          <w:p>
            <w:pPr>
              <w:pStyle w:val="Compact"/>
            </w:pPr>
            <w:r>
              <w:t xml:space="preserve">1h 47m</w:t>
            </w:r>
          </w:p>
        </w:tc>
        <w:tc>
          <w:tcPr/>
          <w:p>
            <w:pPr>
              <w:pStyle w:val="Compact"/>
            </w:pPr>
            <w:r>
              <w:t xml:space="preserve">Upstream transit provider route withdrawal</w:t>
            </w:r>
          </w:p>
        </w:tc>
        <w:tc>
          <w:tcPr/>
          <w:p>
            <w:pPr>
              <w:pStyle w:val="Compact"/>
            </w:pPr>
            <w:r>
              <w:t xml:space="preserve">99.75%</w:t>
            </w:r>
          </w:p>
        </w:tc>
        <w:tc>
          <w:tcPr/>
          <w:p>
            <w:pPr>
              <w:pStyle w:val="Compact"/>
            </w:pPr>
            <w:r>
              <w:t xml:space="preserve">10%</w:t>
            </w:r>
          </w:p>
        </w:tc>
      </w:tr>
      <w:tr>
        <w:tc>
          <w:tcPr/>
          <w:p>
            <w:pPr>
              <w:pStyle w:val="Compact"/>
            </w:pPr>
            <w:r>
              <w:t xml:space="preserve">INC-2025-1022</w:t>
            </w:r>
          </w:p>
        </w:tc>
        <w:tc>
          <w:tcPr/>
          <w:p>
            <w:pPr>
              <w:pStyle w:val="Compact"/>
            </w:pPr>
            <w:r>
              <w:t xml:space="preserve">October 22, 2025</w:t>
            </w:r>
          </w:p>
        </w:tc>
        <w:tc>
          <w:tcPr/>
          <w:p>
            <w:pPr>
              <w:pStyle w:val="Compact"/>
            </w:pPr>
            <w:r>
              <w:t xml:space="preserve">21:40</w:t>
            </w:r>
          </w:p>
        </w:tc>
        <w:tc>
          <w:tcPr/>
          <w:p>
            <w:pPr>
              <w:pStyle w:val="Compact"/>
            </w:pPr>
            <w:r>
              <w:t xml:space="preserve">07:06 (Oct 23)</w:t>
            </w:r>
          </w:p>
        </w:tc>
        <w:tc>
          <w:tcPr/>
          <w:p>
            <w:pPr>
              <w:pStyle w:val="Compact"/>
            </w:pPr>
            <w:r>
              <w:t xml:space="preserve">9h 26m</w:t>
            </w:r>
          </w:p>
        </w:tc>
        <w:tc>
          <w:tcPr/>
          <w:p>
            <w:pPr>
              <w:pStyle w:val="Compact"/>
            </w:pPr>
            <w:r>
              <w:t xml:space="preserve">Control-plane software defect during a scheduled patch window, compounded by a failed automated rollback</w:t>
            </w:r>
          </w:p>
        </w:tc>
        <w:tc>
          <w:tcPr/>
          <w:p>
            <w:pPr>
              <w:pStyle w:val="Compact"/>
            </w:pPr>
            <w:r>
              <w:t xml:space="preserve">98.73%</w:t>
            </w:r>
          </w:p>
        </w:tc>
        <w:tc>
          <w:tcPr/>
          <w:p>
            <w:pPr>
              <w:pStyle w:val="Compact"/>
            </w:pPr>
            <w:r>
              <w:t xml:space="preserve">30%</w:t>
            </w:r>
          </w:p>
        </w:tc>
      </w:tr>
      <w:tr>
        <w:tc>
          <w:tcPr/>
          <w:p>
            <w:pPr>
              <w:pStyle w:val="Compact"/>
            </w:pPr>
            <w:r>
              <w:t xml:space="preserve">INC-2025-1105</w:t>
            </w:r>
          </w:p>
        </w:tc>
        <w:tc>
          <w:tcPr/>
          <w:p>
            <w:pPr>
              <w:pStyle w:val="Compact"/>
            </w:pPr>
            <w:r>
              <w:t xml:space="preserve">November 5, 2025</w:t>
            </w:r>
          </w:p>
        </w:tc>
        <w:tc>
          <w:tcPr/>
          <w:p>
            <w:pPr>
              <w:pStyle w:val="Compact"/>
            </w:pPr>
            <w:r>
              <w:t xml:space="preserve">09:22</w:t>
            </w:r>
          </w:p>
        </w:tc>
        <w:tc>
          <w:tcPr/>
          <w:p>
            <w:pPr>
              <w:pStyle w:val="Compact"/>
            </w:pPr>
            <w:r>
              <w:t xml:space="preserve">11:27</w:t>
            </w:r>
          </w:p>
        </w:tc>
        <w:tc>
          <w:tcPr/>
          <w:p>
            <w:pPr>
              <w:pStyle w:val="Compact"/>
            </w:pPr>
            <w:r>
              <w:t xml:space="preserve">2h 5m</w:t>
            </w:r>
          </w:p>
        </w:tc>
        <w:tc>
          <w:tcPr/>
          <w:p>
            <w:pPr>
              <w:pStyle w:val="Compact"/>
            </w:pPr>
            <w:r>
              <w:t xml:space="preserve">Load balancer configuration error</w:t>
            </w:r>
          </w:p>
        </w:tc>
        <w:tc>
          <w:tcPr/>
          <w:p>
            <w:pPr>
              <w:pStyle w:val="Compact"/>
            </w:pPr>
            <w:r>
              <w:t xml:space="preserve">99.71%</w:t>
            </w:r>
          </w:p>
        </w:tc>
        <w:tc>
          <w:tcPr/>
          <w:p>
            <w:pPr>
              <w:pStyle w:val="Compact"/>
            </w:pPr>
            <w:r>
              <w:t xml:space="preserve">10%</w:t>
            </w:r>
          </w:p>
        </w:tc>
      </w:tr>
    </w:tbl>
    <w:p>
      <w:pPr>
        <w:pStyle w:val="BodyText"/>
      </w:pPr>
      <w:r>
        <w:t xml:space="preserve">Aggregate unplanned downtime: 17 hours 30 minutes.</w:t>
      </w:r>
    </w:p>
    <w:p>
      <w:pPr>
        <w:pStyle w:val="BodyText"/>
      </w:pPr>
      <w:r>
        <w:t xml:space="preserve">Service credits issued or made available: $3,000 (August 2025), $1,500 (September 2025), $4,500 (October 2025), $1,500 (November 2025); total $10,500.</w:t>
      </w:r>
    </w:p>
    <w:p>
      <w:pPr>
        <w:pStyle w:val="BodyText"/>
      </w:pPr>
      <w:r>
        <w:t xml:space="preserve">CloudHost contends that incident INC-2025-0903 falls within the third-party network exclusion in Section 4.3(b) of the SLA and that a portion of the duration of incident INC-2025-1022 is attributable to a configuration change requested by Atticus Dundee on October 20, 2025 and is excluded under Section 4.3(d) of the SLA. Atticus Dundee disputes both contentions. This Exhibit A is a record of the Parties’ respective positions and the measured durations, and is not an admission by either Party as to cause, exclusion, or responsibility.</w:t>
      </w:r>
    </w:p>
    <w:bookmarkEnd w:id="29"/>
    <w:bookmarkStart w:id="30" w:name="X1f0bf7306707305fd3225d261ab6405e6a4bfa7"/>
    <w:p>
      <w:pPr>
        <w:pStyle w:val="Heading2"/>
      </w:pPr>
      <w:r>
        <w:t xml:space="preserve">Exhibit B — Form of Certificate of Data Deletion</w:t>
      </w:r>
    </w:p>
    <w:p>
      <w:pPr>
        <w:pStyle w:val="FirstParagraph"/>
      </w:pPr>
      <w:r>
        <w:rPr>
          <w:b/>
          <w:bCs/>
        </w:rPr>
        <w:t xml:space="preserve">Certificate of Data Deletion</w:t>
      </w:r>
    </w:p>
    <w:p>
      <w:pPr>
        <w:pStyle w:val="BodyText"/>
      </w:pPr>
      <w:r>
        <w:t xml:space="preserve">Reference is made to the Settlement Agreement and Mutual Release dated May 18, 2026 between Atticus Dundee Inc. and CloudHost Inc. (the</w:t>
      </w:r>
      <w:r>
        <w:t xml:space="preserve"> </w:t>
      </w:r>
      <w:r>
        <w:t xml:space="preserve">“Settlement Agreement”</w:t>
      </w:r>
      <w:r>
        <w:t xml:space="preserve">). Capitalized terms used in this certificate have the meanings given in the Settlement Agreement.</w:t>
      </w:r>
    </w:p>
    <w:p>
      <w:pPr>
        <w:pStyle w:val="BodyText"/>
      </w:pPr>
      <w:r>
        <w:t xml:space="preserve">The undersigned, an officer of CloudHost Inc., certifies on behalf of CloudHost Inc. that:</w:t>
      </w:r>
    </w:p>
    <w:p>
      <w:pPr>
        <w:pStyle w:val="Compact"/>
        <w:numPr>
          <w:ilvl w:val="0"/>
          <w:numId w:val="1002"/>
        </w:numPr>
      </w:pPr>
      <w:r>
        <w:t xml:space="preserve">All Atticus Dundee data in the production, staging, archival, and backup systems of CloudHost Inc. and its subcontractors has been securely deleted or destroyed in accordance with Section 6.2 of the Settlement Agreement, using a method consistent with NIST Special Publication 800-88.</w:t>
      </w:r>
    </w:p>
    <w:p>
      <w:pPr>
        <w:pStyle w:val="Compact"/>
        <w:numPr>
          <w:ilvl w:val="0"/>
          <w:numId w:val="1002"/>
        </w:numPr>
      </w:pPr>
      <w:r>
        <w:t xml:space="preserve">Deletion was completed on ________________________.</w:t>
      </w:r>
    </w:p>
    <w:p>
      <w:pPr>
        <w:pStyle w:val="Compact"/>
        <w:numPr>
          <w:ilvl w:val="0"/>
          <w:numId w:val="1002"/>
        </w:numPr>
      </w:pPr>
      <w:r>
        <w:t xml:space="preserve">The systems from which data was deleted are: ________________________.</w:t>
      </w:r>
    </w:p>
    <w:p>
      <w:pPr>
        <w:pStyle w:val="Compact"/>
        <w:numPr>
          <w:ilvl w:val="0"/>
          <w:numId w:val="1002"/>
        </w:numPr>
      </w:pPr>
      <w:r>
        <w:t xml:space="preserve">The following categories of data have been retained solely as required by applicable law, together with the legal basis and the scheduled deletion date for each: ________________________. If no data has been retained, state</w:t>
      </w:r>
      <w:r>
        <w:t xml:space="preserve"> </w:t>
      </w:r>
      <w:r>
        <w:t xml:space="preserve">“None.”</w:t>
      </w:r>
    </w:p>
    <w:p>
      <w:pPr>
        <w:pStyle w:val="Compact"/>
        <w:numPr>
          <w:ilvl w:val="0"/>
          <w:numId w:val="1002"/>
        </w:numPr>
      </w:pPr>
      <w:r>
        <w:t xml:space="preserve">No copy of Atticus Dundee data remains in the possession or control of CloudHost Inc. or any of its subcontractors except as identified in paragraph 4.</w:t>
      </w:r>
    </w:p>
    <w:p>
      <w:pPr>
        <w:pStyle w:val="FirstParagraph"/>
      </w:pPr>
      <w:r>
        <w:rPr>
          <w:b/>
          <w:bCs/>
        </w:rPr>
        <w:t xml:space="preserve">CLOUDHOST INC.</w:t>
      </w:r>
    </w:p>
    <w:p>
      <w:pPr>
        <w:pStyle w:val="BodyText"/>
      </w:pPr>
      <w:r>
        <w:t xml:space="preserve">By: _______________________________</w:t>
      </w:r>
    </w:p>
    <w:p>
      <w:pPr>
        <w:pStyle w:val="BodyText"/>
      </w:pPr>
      <w:r>
        <w:t xml:space="preserve">Name: _______________________________</w:t>
      </w:r>
    </w:p>
    <w:p>
      <w:pPr>
        <w:pStyle w:val="BodyText"/>
      </w:pPr>
      <w:r>
        <w:t xml:space="preserve">Title: _______________________________</w:t>
      </w:r>
    </w:p>
    <w:p>
      <w:pPr>
        <w:pStyle w:val="BodyText"/>
      </w:pPr>
      <w:r>
        <w:t xml:space="preserve">Date: _______________________________</w:t>
      </w:r>
    </w:p>
    <w:bookmarkEnd w:id="30"/>
    <w:bookmarkStart w:id="31" w:name="exhibit-c-joint-statement"/>
    <w:p>
      <w:pPr>
        <w:pStyle w:val="Heading2"/>
      </w:pPr>
      <w:r>
        <w:t xml:space="preserve">Exhibit C — Joint Statement</w:t>
      </w:r>
    </w:p>
    <w:p>
      <w:pPr>
        <w:pStyle w:val="FirstParagraph"/>
      </w:pPr>
      <w:r>
        <w:t xml:space="preserve">The following is the joint statement referenced in Section 13.2. Neither Party will issue any other public statement concerning the matter without the other Party’s prior written consent, except as required by applicable law.</w:t>
      </w:r>
    </w:p>
    <w:p>
      <w:pPr>
        <w:pStyle w:val="BodyText"/>
      </w:pPr>
      <w:r>
        <w:t xml:space="preserve">“Atticus Dundee Inc. and CloudHost Inc. have resolved the commercial matter arising from their former hosting services relationship. The resolution was reached with the assistance of a private mediator and reflects a compromise of disputed claims, without any admission of liability by either company. Both companies consider the matter closed and will have no further comment.”</w:t>
      </w:r>
    </w:p>
    <w:bookmarkEnd w:id="31"/>
    <w:bookmarkStart w:id="37" w:name="exhibit-d-statement-of-claimed-damages"/>
    <w:p>
      <w:pPr>
        <w:pStyle w:val="Heading2"/>
      </w:pPr>
      <w:r>
        <w:t xml:space="preserve">Exhibit D — Statement of Claimed Damages</w:t>
      </w:r>
    </w:p>
    <w:p>
      <w:pPr>
        <w:pStyle w:val="FirstParagraph"/>
      </w:pPr>
      <w:r>
        <w:t xml:space="preserve">This Exhibit D reproduces the itemization of the Claimed Damages delivered with the demand letter dated December 8, 2025 described in Recital F, together with a summary of CloudHost’s stated position on each item. This Exhibit is a record of the Parties’ respective positions as of the date of the mediation and is not an admission by either Party as to causation, quantum, recoverability, or responsibility.</w:t>
      </w:r>
    </w:p>
    <w:bookmarkStart w:id="32" w:name="X18ad91ee6efceb46c4e6b44f3bb6a637277fcc8"/>
    <w:p>
      <w:pPr>
        <w:pStyle w:val="Heading3"/>
      </w:pPr>
      <w:r>
        <w:t xml:space="preserve">D.1 Item 1 — Internal Incident-Response and Remediation Labor</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Component</w:t>
            </w:r>
          </w:p>
        </w:tc>
        <w:tc>
          <w:tcPr/>
          <w:p>
            <w:pPr>
              <w:pStyle w:val="Compact"/>
            </w:pPr>
            <w:r>
              <w:t xml:space="preserve">Hours</w:t>
            </w:r>
          </w:p>
        </w:tc>
        <w:tc>
          <w:tcPr/>
          <w:p>
            <w:pPr>
              <w:pStyle w:val="Compact"/>
            </w:pPr>
            <w:r>
              <w:t xml:space="preserve">Rate</w:t>
            </w:r>
          </w:p>
        </w:tc>
        <w:tc>
          <w:tcPr/>
          <w:p>
            <w:pPr>
              <w:pStyle w:val="Compact"/>
            </w:pPr>
            <w:r>
              <w:t xml:space="preserve">Amount</w:t>
            </w:r>
          </w:p>
        </w:tc>
      </w:tr>
      <w:tr>
        <w:tc>
          <w:tcPr/>
          <w:p>
            <w:pPr>
              <w:pStyle w:val="Compact"/>
            </w:pPr>
            <w:r>
              <w:t xml:space="preserve">Platform engineering</w:t>
            </w:r>
          </w:p>
        </w:tc>
        <w:tc>
          <w:tcPr/>
          <w:p>
            <w:pPr>
              <w:pStyle w:val="Compact"/>
            </w:pPr>
            <w:r>
              <w:t xml:space="preserve">480</w:t>
            </w:r>
          </w:p>
        </w:tc>
        <w:tc>
          <w:tcPr/>
          <w:p>
            <w:pPr>
              <w:pStyle w:val="Compact"/>
            </w:pPr>
            <w:r>
              <w:t xml:space="preserve">$95.00</w:t>
            </w:r>
          </w:p>
        </w:tc>
        <w:tc>
          <w:tcPr/>
          <w:p>
            <w:pPr>
              <w:pStyle w:val="Compact"/>
            </w:pPr>
            <w:r>
              <w:t xml:space="preserve">$45,600</w:t>
            </w:r>
          </w:p>
        </w:tc>
      </w:tr>
      <w:tr>
        <w:tc>
          <w:tcPr/>
          <w:p>
            <w:pPr>
              <w:pStyle w:val="Compact"/>
            </w:pPr>
            <w:r>
              <w:t xml:space="preserve">Site reliability engineering</w:t>
            </w:r>
          </w:p>
        </w:tc>
        <w:tc>
          <w:tcPr/>
          <w:p>
            <w:pPr>
              <w:pStyle w:val="Compact"/>
            </w:pPr>
            <w:r>
              <w:t xml:space="preserve">200</w:t>
            </w:r>
          </w:p>
        </w:tc>
        <w:tc>
          <w:tcPr/>
          <w:p>
            <w:pPr>
              <w:pStyle w:val="Compact"/>
            </w:pPr>
            <w:r>
              <w:t xml:space="preserve">$120.00</w:t>
            </w:r>
          </w:p>
        </w:tc>
        <w:tc>
          <w:tcPr/>
          <w:p>
            <w:pPr>
              <w:pStyle w:val="Compact"/>
            </w:pPr>
            <w:r>
              <w:t xml:space="preserve">$24,000</w:t>
            </w:r>
          </w:p>
        </w:tc>
      </w:tr>
      <w:tr>
        <w:tc>
          <w:tcPr/>
          <w:p>
            <w:pPr>
              <w:pStyle w:val="Compact"/>
            </w:pPr>
            <w:r>
              <w:t xml:space="preserve">Customer support surge staffing</w:t>
            </w:r>
          </w:p>
        </w:tc>
        <w:tc>
          <w:tcPr/>
          <w:p>
            <w:pPr>
              <w:pStyle w:val="Compact"/>
            </w:pPr>
            <w:r>
              <w:t xml:space="preserve">240</w:t>
            </w:r>
          </w:p>
        </w:tc>
        <w:tc>
          <w:tcPr/>
          <w:p>
            <w:pPr>
              <w:pStyle w:val="Compact"/>
            </w:pPr>
            <w:r>
              <w:t xml:space="preserve">$50.00</w:t>
            </w:r>
          </w:p>
        </w:tc>
        <w:tc>
          <w:tcPr/>
          <w:p>
            <w:pPr>
              <w:pStyle w:val="Compact"/>
            </w:pPr>
            <w:r>
              <w:t xml:space="preserve">$12,000</w:t>
            </w:r>
          </w:p>
        </w:tc>
      </w:tr>
      <w:tr>
        <w:tc>
          <w:tcPr/>
          <w:p>
            <w:pPr>
              <w:pStyle w:val="Compact"/>
            </w:pPr>
            <w:r>
              <w:t xml:space="preserve">Engineering management</w:t>
            </w:r>
          </w:p>
        </w:tc>
        <w:tc>
          <w:tcPr/>
          <w:p>
            <w:pPr>
              <w:pStyle w:val="Compact"/>
            </w:pPr>
            <w:r>
              <w:t xml:space="preserve">60</w:t>
            </w:r>
          </w:p>
        </w:tc>
        <w:tc>
          <w:tcPr/>
          <w:p>
            <w:pPr>
              <w:pStyle w:val="Compact"/>
            </w:pPr>
            <w:r>
              <w:t xml:space="preserve">$80.00</w:t>
            </w:r>
          </w:p>
        </w:tc>
        <w:tc>
          <w:tcPr/>
          <w:p>
            <w:pPr>
              <w:pStyle w:val="Compact"/>
            </w:pPr>
            <w:r>
              <w:t xml:space="preserve">$4,800</w:t>
            </w:r>
          </w:p>
        </w:tc>
      </w:tr>
      <w:tr>
        <w:tc>
          <w:tcPr/>
          <w:p>
            <w:pPr>
              <w:pStyle w:val="Compact"/>
            </w:pPr>
            <w:r>
              <w:rPr>
                <w:b/>
                <w:bCs/>
              </w:rPr>
              <w:t xml:space="preserve">Subtotal</w:t>
            </w:r>
          </w:p>
        </w:tc>
        <w:tc>
          <w:tcPr/>
          <w:p>
            <w:pPr>
              <w:pStyle w:val="Compact"/>
            </w:pPr>
            <w:r>
              <w:rPr>
                <w:b/>
                <w:bCs/>
              </w:rPr>
              <w:t xml:space="preserve">980</w:t>
            </w:r>
          </w:p>
        </w:tc>
        <w:tc>
          <w:tcPr/>
          <w:p>
            <w:pPr>
              <w:pStyle w:val="Compact"/>
            </w:pPr>
          </w:p>
        </w:tc>
        <w:tc>
          <w:tcPr/>
          <w:p>
            <w:pPr>
              <w:pStyle w:val="Compact"/>
            </w:pPr>
            <w:r>
              <w:rPr>
                <w:b/>
                <w:bCs/>
              </w:rPr>
              <w:t xml:space="preserve">$86,400</w:t>
            </w:r>
          </w:p>
        </w:tc>
      </w:tr>
    </w:tbl>
    <w:p>
      <w:pPr>
        <w:pStyle w:val="BodyText"/>
      </w:pPr>
      <w:r>
        <w:t xml:space="preserve">CloudHost’s position: internal labor of salaried personnel is not a recoverable out-of-pocket loss; the hours are not contemporaneously time-recorded; and any recoverable portion is subject to the cap in Section 11.2 of the HSA.</w:t>
      </w:r>
    </w:p>
    <w:bookmarkEnd w:id="32"/>
    <w:bookmarkStart w:id="33" w:name="X4026e1b2d68584e40d96c3229fb87ddf640963b"/>
    <w:p>
      <w:pPr>
        <w:pStyle w:val="Heading3"/>
      </w:pPr>
      <w:r>
        <w:t xml:space="preserve">D.2 Item 2 — Service Credits Issued by Atticus Dundee to Its Customers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Component</w:t>
            </w:r>
          </w:p>
        </w:tc>
        <w:tc>
          <w:tcPr/>
          <w:p>
            <w:pPr>
              <w:pStyle w:val="Compact"/>
            </w:pPr>
            <w:r>
              <w:t xml:space="preserve">Count</w:t>
            </w:r>
          </w:p>
        </w:tc>
        <w:tc>
          <w:tcPr/>
          <w:p>
            <w:pPr>
              <w:pStyle w:val="Compact"/>
            </w:pPr>
            <w:r>
              <w:t xml:space="preserve">Amount each</w:t>
            </w:r>
          </w:p>
        </w:tc>
        <w:tc>
          <w:tcPr/>
          <w:p>
            <w:pPr>
              <w:pStyle w:val="Compact"/>
            </w:pPr>
            <w:r>
              <w:t xml:space="preserve">Amount</w:t>
            </w:r>
          </w:p>
        </w:tc>
      </w:tr>
      <w:tr>
        <w:tc>
          <w:tcPr/>
          <w:p>
            <w:pPr>
              <w:pStyle w:val="Compact"/>
            </w:pPr>
            <w:r>
              <w:t xml:space="preserve">Enterprise customer credits issued under customer-facing service level commitments</w:t>
            </w:r>
          </w:p>
        </w:tc>
        <w:tc>
          <w:tcPr/>
          <w:p>
            <w:pPr>
              <w:pStyle w:val="Compact"/>
            </w:pPr>
            <w:r>
              <w:t xml:space="preserve">37</w:t>
            </w:r>
          </w:p>
        </w:tc>
        <w:tc>
          <w:tcPr/>
          <w:p>
            <w:pPr>
              <w:pStyle w:val="Compact"/>
            </w:pPr>
            <w:r>
              <w:t xml:space="preserve">$2,500</w:t>
            </w:r>
          </w:p>
        </w:tc>
        <w:tc>
          <w:tcPr/>
          <w:p>
            <w:pPr>
              <w:pStyle w:val="Compact"/>
            </w:pPr>
            <w:r>
              <w:t xml:space="preserve">$92,500</w:t>
            </w:r>
          </w:p>
        </w:tc>
      </w:tr>
      <w:tr>
        <w:tc>
          <w:tcPr/>
          <w:p>
            <w:pPr>
              <w:pStyle w:val="Compact"/>
            </w:pPr>
            <w:r>
              <w:rPr>
                <w:b/>
                <w:bCs/>
              </w:rPr>
              <w:t xml:space="preserve">Subtotal</w:t>
            </w:r>
          </w:p>
        </w:tc>
        <w:tc>
          <w:tcPr/>
          <w:p>
            <w:pPr>
              <w:pStyle w:val="Compact"/>
            </w:pPr>
          </w:p>
        </w:tc>
        <w:tc>
          <w:tcPr/>
          <w:p>
            <w:pPr>
              <w:pStyle w:val="Compact"/>
            </w:pPr>
          </w:p>
        </w:tc>
        <w:tc>
          <w:tcPr/>
          <w:p>
            <w:pPr>
              <w:pStyle w:val="Compact"/>
            </w:pPr>
            <w:r>
              <w:rPr>
                <w:b/>
                <w:bCs/>
              </w:rPr>
              <w:t xml:space="preserve">$92,500</w:t>
            </w:r>
          </w:p>
        </w:tc>
      </w:tr>
    </w:tbl>
    <w:p>
      <w:pPr>
        <w:pStyle w:val="BodyText"/>
      </w:pPr>
      <w:r>
        <w:t xml:space="preserve">CloudHost’s position: these credits are consequential damages barred by Section 11.3 of the HSA; Atticus Dundee has not established that its customer-facing commitments required the credits rather than making them discretionary; and no back-to-back service level obligation was ever agreed between the Parties.</w:t>
      </w:r>
    </w:p>
    <w:bookmarkEnd w:id="33"/>
    <w:bookmarkStart w:id="34" w:name="d.3-item-3-expedited-migration-costs"/>
    <w:p>
      <w:pPr>
        <w:pStyle w:val="Heading3"/>
      </w:pPr>
      <w:r>
        <w:t xml:space="preserve">D.3 Item 3 — Expedited Migration Costs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Component</w:t>
            </w:r>
          </w:p>
        </w:tc>
        <w:tc>
          <w:tcPr/>
          <w:p>
            <w:pPr>
              <w:pStyle w:val="Compact"/>
            </w:pPr>
            <w:r>
              <w:t xml:space="preserve">Basis</w:t>
            </w:r>
          </w:p>
        </w:tc>
        <w:tc>
          <w:tcPr/>
          <w:p>
            <w:pPr>
              <w:pStyle w:val="Compact"/>
            </w:pPr>
            <w:r>
              <w:t xml:space="preserve">Amount</w:t>
            </w:r>
          </w:p>
        </w:tc>
      </w:tr>
      <w:tr>
        <w:tc>
          <w:tcPr/>
          <w:p>
            <w:pPr>
              <w:pStyle w:val="Compact"/>
            </w:pPr>
            <w:r>
              <w:t xml:space="preserve">Replacement provider expedited onboarding fee</w:t>
            </w:r>
          </w:p>
        </w:tc>
        <w:tc>
          <w:tcPr/>
          <w:p>
            <w:pPr>
              <w:pStyle w:val="Compact"/>
            </w:pPr>
            <w:r>
              <w:t xml:space="preserve">Fixed fee</w:t>
            </w:r>
          </w:p>
        </w:tc>
        <w:tc>
          <w:tcPr/>
          <w:p>
            <w:pPr>
              <w:pStyle w:val="Compact"/>
            </w:pPr>
            <w:r>
              <w:t xml:space="preserve">$27,500</w:t>
            </w:r>
          </w:p>
        </w:tc>
      </w:tr>
      <w:tr>
        <w:tc>
          <w:tcPr/>
          <w:p>
            <w:pPr>
              <w:pStyle w:val="Compact"/>
            </w:pPr>
            <w:r>
              <w:t xml:space="preserve">Third-party migration contractor</w:t>
            </w:r>
          </w:p>
        </w:tc>
        <w:tc>
          <w:tcPr/>
          <w:p>
            <w:pPr>
              <w:pStyle w:val="Compact"/>
            </w:pPr>
            <w:r>
              <w:t xml:space="preserve">160 hours at $145.00</w:t>
            </w:r>
          </w:p>
        </w:tc>
        <w:tc>
          <w:tcPr/>
          <w:p>
            <w:pPr>
              <w:pStyle w:val="Compact"/>
            </w:pPr>
            <w:r>
              <w:t xml:space="preserve">$23,200</w:t>
            </w:r>
          </w:p>
        </w:tc>
      </w:tr>
      <w:tr>
        <w:tc>
          <w:tcPr/>
          <w:p>
            <w:pPr>
              <w:pStyle w:val="Compact"/>
            </w:pPr>
            <w:r>
              <w:t xml:space="preserve">Parallel infrastructure run, 21 days</w:t>
            </w:r>
          </w:p>
        </w:tc>
        <w:tc>
          <w:tcPr/>
          <w:p>
            <w:pPr>
              <w:pStyle w:val="Compact"/>
            </w:pPr>
            <w:r>
              <w:t xml:space="preserve">Duplicate environment cost</w:t>
            </w:r>
          </w:p>
        </w:tc>
        <w:tc>
          <w:tcPr/>
          <w:p>
            <w:pPr>
              <w:pStyle w:val="Compact"/>
            </w:pPr>
            <w:r>
              <w:t xml:space="preserve">$3,600</w:t>
            </w:r>
          </w:p>
        </w:tc>
      </w:tr>
      <w:tr>
        <w:tc>
          <w:tcPr/>
          <w:p>
            <w:pPr>
              <w:pStyle w:val="Compact"/>
            </w:pPr>
            <w:r>
              <w:rPr>
                <w:b/>
                <w:bCs/>
              </w:rPr>
              <w:t xml:space="preserve">Subtotal</w:t>
            </w:r>
          </w:p>
        </w:tc>
        <w:tc>
          <w:tcPr/>
          <w:p>
            <w:pPr>
              <w:pStyle w:val="Compact"/>
            </w:pPr>
          </w:p>
        </w:tc>
        <w:tc>
          <w:tcPr/>
          <w:p>
            <w:pPr>
              <w:pStyle w:val="Compact"/>
            </w:pPr>
            <w:r>
              <w:rPr>
                <w:b/>
                <w:bCs/>
              </w:rPr>
              <w:t xml:space="preserve">$54,300</w:t>
            </w:r>
          </w:p>
        </w:tc>
      </w:tr>
    </w:tbl>
    <w:p>
      <w:pPr>
        <w:pStyle w:val="BodyText"/>
      </w:pPr>
      <w:r>
        <w:t xml:space="preserve">CloudHost’s position: Atticus Dundee elected to terminate and migrate rather than pursue the cure process in Section 12.2 of the HSA; the incremental cost of expedition is a consequence of that election; and migration costs are consequential damages barred by Section 11.3 of the HSA.</w:t>
      </w:r>
    </w:p>
    <w:bookmarkEnd w:id="34"/>
    <w:bookmarkStart w:id="35" w:name="d.4-item-4-third-party-forensic-review"/>
    <w:p>
      <w:pPr>
        <w:pStyle w:val="Heading3"/>
      </w:pPr>
      <w:r>
        <w:t xml:space="preserve">D.4 Item 4 — Third-Party Forensic Review</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Component</w:t>
            </w:r>
          </w:p>
        </w:tc>
        <w:tc>
          <w:tcPr/>
          <w:p>
            <w:pPr>
              <w:pStyle w:val="Compact"/>
            </w:pPr>
            <w:r>
              <w:t xml:space="preserve">Basis</w:t>
            </w:r>
          </w:p>
        </w:tc>
        <w:tc>
          <w:tcPr/>
          <w:p>
            <w:pPr>
              <w:pStyle w:val="Compact"/>
            </w:pPr>
            <w:r>
              <w:t xml:space="preserve">Amount</w:t>
            </w:r>
          </w:p>
        </w:tc>
      </w:tr>
      <w:tr>
        <w:tc>
          <w:tcPr/>
          <w:p>
            <w:pPr>
              <w:pStyle w:val="Compact"/>
            </w:pPr>
            <w:r>
              <w:t xml:space="preserve">Independent forensic engineering review of the October 22, 2025 incident</w:t>
            </w:r>
          </w:p>
        </w:tc>
        <w:tc>
          <w:tcPr/>
          <w:p>
            <w:pPr>
              <w:pStyle w:val="Compact"/>
            </w:pPr>
            <w:r>
              <w:t xml:space="preserve">Fixed fee</w:t>
            </w:r>
          </w:p>
        </w:tc>
        <w:tc>
          <w:tcPr/>
          <w:p>
            <w:pPr>
              <w:pStyle w:val="Compact"/>
            </w:pPr>
            <w:r>
              <w:t xml:space="preserve">$14,000</w:t>
            </w:r>
          </w:p>
        </w:tc>
      </w:tr>
      <w:tr>
        <w:tc>
          <w:tcPr/>
          <w:p>
            <w:pPr>
              <w:pStyle w:val="Compact"/>
            </w:pPr>
            <w:r>
              <w:t xml:space="preserve">Reimbursable expenses</w:t>
            </w:r>
          </w:p>
        </w:tc>
        <w:tc>
          <w:tcPr/>
          <w:p>
            <w:pPr>
              <w:pStyle w:val="Compact"/>
            </w:pPr>
            <w:r>
              <w:t xml:space="preserve">Actual</w:t>
            </w:r>
          </w:p>
        </w:tc>
        <w:tc>
          <w:tcPr/>
          <w:p>
            <w:pPr>
              <w:pStyle w:val="Compact"/>
            </w:pPr>
            <w:r>
              <w:t xml:space="preserve">$2,800</w:t>
            </w:r>
          </w:p>
        </w:tc>
      </w:tr>
      <w:tr>
        <w:tc>
          <w:tcPr/>
          <w:p>
            <w:pPr>
              <w:pStyle w:val="Compact"/>
            </w:pPr>
            <w:r>
              <w:rPr>
                <w:b/>
                <w:bCs/>
              </w:rPr>
              <w:t xml:space="preserve">Subtotal</w:t>
            </w:r>
          </w:p>
        </w:tc>
        <w:tc>
          <w:tcPr/>
          <w:p>
            <w:pPr>
              <w:pStyle w:val="Compact"/>
            </w:pPr>
          </w:p>
        </w:tc>
        <w:tc>
          <w:tcPr/>
          <w:p>
            <w:pPr>
              <w:pStyle w:val="Compact"/>
            </w:pPr>
            <w:r>
              <w:rPr>
                <w:b/>
                <w:bCs/>
              </w:rPr>
              <w:t xml:space="preserve">$16,800</w:t>
            </w:r>
          </w:p>
        </w:tc>
      </w:tr>
    </w:tbl>
    <w:p>
      <w:pPr>
        <w:pStyle w:val="BodyText"/>
      </w:pPr>
      <w:r>
        <w:t xml:space="preserve">CloudHost’s position: the review duplicated the post-incident review CloudHost provided at no charge on November 3, 2025, and the cost was voluntarily incurred.</w:t>
      </w:r>
    </w:p>
    <w:bookmarkEnd w:id="35"/>
    <w:bookmarkStart w:id="36" w:name="d.5-summary"/>
    <w:p>
      <w:pPr>
        <w:pStyle w:val="Heading3"/>
      </w:pPr>
      <w:r>
        <w:t xml:space="preserve">D.5 Summary</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Item</w:t>
            </w:r>
          </w:p>
        </w:tc>
        <w:tc>
          <w:tcPr/>
          <w:p>
            <w:pPr>
              <w:pStyle w:val="Compact"/>
            </w:pPr>
            <w:r>
              <w:t xml:space="preserve">Amount</w:t>
            </w:r>
          </w:p>
        </w:tc>
      </w:tr>
      <w:tr>
        <w:tc>
          <w:tcPr/>
          <w:p>
            <w:pPr>
              <w:pStyle w:val="Compact"/>
            </w:pPr>
            <w:r>
              <w:t xml:space="preserve">1. Internal incident-response and remediation labor</w:t>
            </w:r>
          </w:p>
        </w:tc>
        <w:tc>
          <w:tcPr/>
          <w:p>
            <w:pPr>
              <w:pStyle w:val="Compact"/>
            </w:pPr>
            <w:r>
              <w:t xml:space="preserve">$86,400</w:t>
            </w:r>
          </w:p>
        </w:tc>
      </w:tr>
      <w:tr>
        <w:tc>
          <w:tcPr/>
          <w:p>
            <w:pPr>
              <w:pStyle w:val="Compact"/>
            </w:pPr>
            <w:r>
              <w:t xml:space="preserve">2. Service credits issued to customers</w:t>
            </w:r>
          </w:p>
        </w:tc>
        <w:tc>
          <w:tcPr/>
          <w:p>
            <w:pPr>
              <w:pStyle w:val="Compact"/>
            </w:pPr>
            <w:r>
              <w:t xml:space="preserve">$92,500</w:t>
            </w:r>
          </w:p>
        </w:tc>
      </w:tr>
      <w:tr>
        <w:tc>
          <w:tcPr/>
          <w:p>
            <w:pPr>
              <w:pStyle w:val="Compact"/>
            </w:pPr>
            <w:r>
              <w:t xml:space="preserve">3. Expedited migration costs</w:t>
            </w:r>
          </w:p>
        </w:tc>
        <w:tc>
          <w:tcPr/>
          <w:p>
            <w:pPr>
              <w:pStyle w:val="Compact"/>
            </w:pPr>
            <w:r>
              <w:t xml:space="preserve">$54,300</w:t>
            </w:r>
          </w:p>
        </w:tc>
      </w:tr>
      <w:tr>
        <w:tc>
          <w:tcPr/>
          <w:p>
            <w:pPr>
              <w:pStyle w:val="Compact"/>
            </w:pPr>
            <w:r>
              <w:t xml:space="preserve">4. Third-party forensic review</w:t>
            </w:r>
          </w:p>
        </w:tc>
        <w:tc>
          <w:tcPr/>
          <w:p>
            <w:pPr>
              <w:pStyle w:val="Compact"/>
            </w:pPr>
            <w:r>
              <w:t xml:space="preserve">$16,800</w:t>
            </w:r>
          </w:p>
        </w:tc>
      </w:tr>
      <w:tr>
        <w:tc>
          <w:tcPr/>
          <w:p>
            <w:pPr>
              <w:pStyle w:val="Compact"/>
            </w:pPr>
            <w:r>
              <w:rPr>
                <w:b/>
                <w:bCs/>
              </w:rPr>
              <w:t xml:space="preserve">Total Claimed Damages</w:t>
            </w:r>
          </w:p>
        </w:tc>
        <w:tc>
          <w:tcPr/>
          <w:p>
            <w:pPr>
              <w:pStyle w:val="Compact"/>
            </w:pPr>
            <w:r>
              <w:rPr>
                <w:b/>
                <w:bCs/>
              </w:rPr>
              <w:t xml:space="preserve">$250,000</w:t>
            </w:r>
          </w:p>
        </w:tc>
      </w:tr>
      <w:tr>
        <w:tc>
          <w:tcPr/>
          <w:p>
            <w:pPr>
              <w:pStyle w:val="Compact"/>
            </w:pPr>
            <w:r>
              <w:t xml:space="preserve">Less: service credits issued or made available under the SLA</w:t>
            </w:r>
          </w:p>
        </w:tc>
        <w:tc>
          <w:tcPr/>
          <w:p>
            <w:pPr>
              <w:pStyle w:val="Compact"/>
            </w:pPr>
            <w:r>
              <w:t xml:space="preserve">$(10,500)</w:t>
            </w:r>
          </w:p>
        </w:tc>
      </w:tr>
      <w:tr>
        <w:tc>
          <w:tcPr/>
          <w:p>
            <w:pPr>
              <w:pStyle w:val="Compact"/>
            </w:pPr>
            <w:r>
              <w:rPr>
                <w:b/>
                <w:bCs/>
              </w:rPr>
              <w:t xml:space="preserve">Net amount demanded on December 8, 2025</w:t>
            </w:r>
          </w:p>
        </w:tc>
        <w:tc>
          <w:tcPr/>
          <w:p>
            <w:pPr>
              <w:pStyle w:val="Compact"/>
            </w:pPr>
            <w:r>
              <w:rPr>
                <w:b/>
                <w:bCs/>
              </w:rPr>
              <w:t xml:space="preserve">$239,500</w:t>
            </w:r>
          </w:p>
        </w:tc>
      </w:tr>
    </w:tbl>
    <w:p>
      <w:pPr>
        <w:pStyle w:val="BodyText"/>
      </w:pPr>
      <w:r>
        <w:t xml:space="preserve">CloudHost’s aggregate position at mediation was that its maximum exposure was the $10,500 in service credits already issued, that the credits were the sole and exclusive remedy under Section 4.6 of the SLA, and that in any event Section 11.2 of the HSA capped any recovery at $180,000 and Section 11.3 of the HSA barred Items 2 and 3 in their entirety.</w:t>
      </w:r>
    </w:p>
    <w:bookmarkEnd w:id="36"/>
    <w:bookmarkEnd w:id="37"/>
    <w:bookmarkStart w:id="48" w:name="X3d288ec4424db3f6b7ee55cce96a4b2ff96ad82"/>
    <w:p>
      <w:pPr>
        <w:pStyle w:val="Heading2"/>
      </w:pPr>
      <w:r>
        <w:t xml:space="preserve">Exhibit E — Relevant Provisions of the HSA and the SLA</w:t>
      </w:r>
    </w:p>
    <w:p>
      <w:pPr>
        <w:pStyle w:val="FirstParagraph"/>
      </w:pPr>
      <w:r>
        <w:t xml:space="preserve">The following provisions of the HSA and the SLA are reproduced for reference in connection with the Disputed Issues described in Recital G. This Exhibit E is for convenience only; the HSA and the SLA govern their own terms.</w:t>
      </w:r>
    </w:p>
    <w:bookmarkStart w:id="38" w:name="Xb9a486a256c5ca755401e97548eafede3ae980b"/>
    <w:p>
      <w:pPr>
        <w:pStyle w:val="Heading3"/>
      </w:pPr>
      <w:r>
        <w:t xml:space="preserve">E.1 SLA Section 4.1 (Availability Commitment)</w:t>
      </w:r>
    </w:p>
    <w:p>
      <w:pPr>
        <w:pStyle w:val="FirstParagraph"/>
      </w:pPr>
      <w:r>
        <w:t xml:space="preserve">“Provider will make the Production Environment Available not less than 99.95% of the time in each calendar month (the</w:t>
      </w:r>
      <w:r>
        <w:t xml:space="preserve"> </w:t>
      </w:r>
      <w:r>
        <w:t xml:space="preserve">‘Availability Commitment’</w:t>
      </w:r>
      <w:r>
        <w:t xml:space="preserve">).”</w:t>
      </w:r>
    </w:p>
    <w:bookmarkEnd w:id="38"/>
    <w:bookmarkStart w:id="39" w:name="e.2-sla-section-4.2-measurement"/>
    <w:p>
      <w:pPr>
        <w:pStyle w:val="Heading3"/>
      </w:pPr>
      <w:r>
        <w:t xml:space="preserve">E.2 SLA Section 4.2 (Measurement)</w:t>
      </w:r>
    </w:p>
    <w:p>
      <w:pPr>
        <w:pStyle w:val="FirstParagraph"/>
      </w:pPr>
      <w:r>
        <w:t xml:space="preserve">“Monthly availability is calculated as (T - U) divided by T, expressed as a percentage, where T is the total number of minutes in the calendar month and U is the total number of minutes during that month in which the Production Environment was Unavailable, excluding minutes excluded under Section 4.3.</w:t>
      </w:r>
      <w:r>
        <w:t xml:space="preserve"> </w:t>
      </w:r>
      <w:r>
        <w:t xml:space="preserve">‘Unavailable’</w:t>
      </w:r>
      <w:r>
        <w:t xml:space="preserve"> </w:t>
      </w:r>
      <w:r>
        <w:t xml:space="preserve">means that the Production Environment does not respond to Provider’s synthetic monitoring probes from at least two geographically distinct probe locations for three consecutive one-minute intervals.”</w:t>
      </w:r>
    </w:p>
    <w:bookmarkEnd w:id="39"/>
    <w:bookmarkStart w:id="40" w:name="e.3-sla-section-4.3-exclusions"/>
    <w:p>
      <w:pPr>
        <w:pStyle w:val="Heading3"/>
      </w:pPr>
      <w:r>
        <w:t xml:space="preserve">E.3 SLA Section 4.3 (Exclusions)</w:t>
      </w:r>
    </w:p>
    <w:p>
      <w:pPr>
        <w:pStyle w:val="FirstParagraph"/>
      </w:pPr>
      <w:r>
        <w:t xml:space="preserve">“The following periods are excluded from the calculation of Unavailability: (a) scheduled maintenance notified to Customer at least five (5) Business Days in advance and not exceeding four (4) hours in any calendar month; (b) unavailability caused by a third-party network or transit provider not under Provider’s control, provided that Provider has used commercially reasonable efforts to reroute affected traffic; (c) unavailability caused by a Force Majeure Event; (d) unavailability caused by a configuration change requested by Customer or performed at Customer’s direction; and (e) unavailability caused by Customer’s equipment, software, or network.”</w:t>
      </w:r>
    </w:p>
    <w:bookmarkEnd w:id="40"/>
    <w:bookmarkStart w:id="41" w:name="e.4-sla-section-4.4-service-credits"/>
    <w:p>
      <w:pPr>
        <w:pStyle w:val="Heading3"/>
      </w:pPr>
      <w:r>
        <w:t xml:space="preserve">E.4 SLA Section 4.4 (Service Credits)</w:t>
      </w:r>
    </w:p>
    <w:p>
      <w:pPr>
        <w:pStyle w:val="FirstParagraph"/>
      </w:pPr>
      <w:r>
        <w:t xml:space="preserve">“If monthly availability falls below the Availability Commitment, Customer is entitled to a service credit calculated as a percentage of the monthly fee for the affected month: ten percent (10%) where monthly availability is below 99.95% but at or above 99.5%; twenty percent (20%) where monthly availability is below 99.5% but at or above 99.0%; and thirty percent (30%) where monthly availability is below 99.0%.”</w:t>
      </w:r>
    </w:p>
    <w:bookmarkEnd w:id="41"/>
    <w:bookmarkStart w:id="42" w:name="e.5-sla-section-4.5-credit-procedure"/>
    <w:p>
      <w:pPr>
        <w:pStyle w:val="Heading3"/>
      </w:pPr>
      <w:r>
        <w:t xml:space="preserve">E.5 SLA Section 4.5 (Credit Procedure)</w:t>
      </w:r>
    </w:p>
    <w:p>
      <w:pPr>
        <w:pStyle w:val="FirstParagraph"/>
      </w:pPr>
      <w:r>
        <w:t xml:space="preserve">“Customer must request a service credit in writing within thirty (30) days after the end of the affected month, identifying the incident and the periods of Unavailability claimed. Service credits are applied against the next invoice and are not refundable in cash.”</w:t>
      </w:r>
    </w:p>
    <w:bookmarkEnd w:id="42"/>
    <w:bookmarkStart w:id="43" w:name="e.6-sla-section-4.6-exclusive-remedy"/>
    <w:p>
      <w:pPr>
        <w:pStyle w:val="Heading3"/>
      </w:pPr>
      <w:r>
        <w:t xml:space="preserve">E.6 SLA Section 4.6 (Exclusive Remedy)</w:t>
      </w:r>
    </w:p>
    <w:p>
      <w:pPr>
        <w:pStyle w:val="FirstParagraph"/>
      </w:pPr>
      <w:r>
        <w:t xml:space="preserve">“The service credits described in this Section 4 are Customer’s sole and exclusive remedy, and Provider’s entire liability, for any failure to meet the Availability Commitment.”</w:t>
      </w:r>
    </w:p>
    <w:bookmarkEnd w:id="43"/>
    <w:bookmarkStart w:id="44" w:name="X06a26e59988843ac9f97cd4c6abd17fc92a03fa"/>
    <w:p>
      <w:pPr>
        <w:pStyle w:val="Heading3"/>
      </w:pPr>
      <w:r>
        <w:t xml:space="preserve">E.7 HSA Section 11.2 (Limitation of Liability)</w:t>
      </w:r>
    </w:p>
    <w:p>
      <w:pPr>
        <w:pStyle w:val="FirstParagraph"/>
      </w:pPr>
      <w:r>
        <w:t xml:space="preserve">“Except as provided in Section 11.4, each party’s total aggregate liability arising out of or relating to this Agreement, whether in contract, tort, or otherwise, will not exceed the total fees paid by Customer to Provider under this Agreement during the twelve (12) month period immediately preceding the event giving rise to the claim.”</w:t>
      </w:r>
    </w:p>
    <w:bookmarkEnd w:id="44"/>
    <w:bookmarkStart w:id="45" w:name="X5603fef7f5d73232fb12759ea7e73b1ebf0ad15"/>
    <w:p>
      <w:pPr>
        <w:pStyle w:val="Heading3"/>
      </w:pPr>
      <w:r>
        <w:t xml:space="preserve">E.8 HSA Section 11.3 (Waiver of Consequential Damages)</w:t>
      </w:r>
    </w:p>
    <w:p>
      <w:pPr>
        <w:pStyle w:val="FirstParagraph"/>
      </w:pPr>
      <w:r>
        <w:t xml:space="preserve">“Notwithstanding any other provision of this Agreement, neither party will be liable for any indirect, incidental, special, consequential, or punitive damages, or for any loss of profits, loss of revenue, loss of goodwill, or loss or corruption of data, however caused and under any theory of liability.”</w:t>
      </w:r>
    </w:p>
    <w:bookmarkEnd w:id="45"/>
    <w:bookmarkStart w:id="46" w:name="e.9-hsa-section-12.1-termination"/>
    <w:p>
      <w:pPr>
        <w:pStyle w:val="Heading3"/>
      </w:pPr>
      <w:r>
        <w:t xml:space="preserve">E.9 HSA Section 12.1 (Termination)</w:t>
      </w:r>
    </w:p>
    <w:p>
      <w:pPr>
        <w:pStyle w:val="FirstParagraph"/>
      </w:pPr>
      <w:r>
        <w:t xml:space="preserve">“Either party may terminate this Agreement: (a) for material breach, on thirty (30) days’ written notice, if the breaching party fails to cure within that period; (b) on the insolvency of the other party; or (c) in the case of Customer, if the Production Environment fails to meet the Availability Commitment in any three (3) calendar months within a rolling six (6) month period, on thirty (30) days’ written notice given within forty-five (45) days after the third such month.”</w:t>
      </w:r>
    </w:p>
    <w:bookmarkEnd w:id="46"/>
    <w:bookmarkStart w:id="47" w:name="Xc7d07c67b1887fbb96da2dd3fde6d6ac23890b5"/>
    <w:p>
      <w:pPr>
        <w:pStyle w:val="Heading3"/>
      </w:pPr>
      <w:r>
        <w:t xml:space="preserve">E.10 HSA Section 12.5 (Transition Assistance)</w:t>
      </w:r>
    </w:p>
    <w:p>
      <w:pPr>
        <w:pStyle w:val="FirstParagraph"/>
      </w:pPr>
      <w:r>
        <w:t xml:space="preserve">“On Customer’s written request made no later than thirty (30) days after the effective date of termination, Provider will provide reasonable transition assistance for a period of up to ninety (90) days at Provider’s then-current time-and-materials rates, including the export of Customer data in a structured, machine-readable format and the delivery of configuration exports and runbooks reasonably necessary for Customer to reconstitute the environment with a successor provider.”</w:t>
      </w:r>
    </w:p>
    <w:bookmarkEnd w:id="47"/>
    <w:bookmarkEnd w:id="48"/>
    <w:bookmarkEnd w:id="4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jc w:val="both"/>
    </w:p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jc w:val="left"/>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jc w:val="left"/>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jc w:val="left"/>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jc w:val="left"/>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jc w:val="left"/>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jc w:val="left"/>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jc w:val="left"/>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jc w:val="left"/>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jc w:val="left"/>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Times New Roman"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Times New Roman"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2026-08-09T02:04:44Z</dcterms:created>
  <dcterms:modified xsi:type="dcterms:W3CDTF">2026-08-09T02:04:44Z</dcterms:modified>
</cp:coreProperties>
</file>

<file path=docProps/custom.xml><?xml version="1.0" encoding="utf-8"?>
<Properties xmlns="http://schemas.openxmlformats.org/officeDocument/2006/custom-properties" xmlns:vt="http://schemas.openxmlformats.org/officeDocument/2006/docPropsVTypes"/>
</file>