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engagement-letter"/>
    <w:p>
      <w:pPr>
        <w:pStyle w:val="Heading1"/>
      </w:pPr>
      <w:r>
        <w:t xml:space="preserve">Engagement Letter</w:t>
      </w:r>
    </w:p>
    <w:p>
      <w:pPr>
        <w:pStyle w:val="FirstParagraph"/>
      </w:pPr>
      <w:r>
        <w:rPr>
          <w:b/>
          <w:bCs/>
        </w:rPr>
        <w:t xml:space="preserve">ATTICUS DUNDEE LLP</w:t>
      </w:r>
      <w:r>
        <w:t xml:space="preserve"> </w:t>
      </w:r>
      <w:r>
        <w:t xml:space="preserve">300 Ferris Wharf, Suite 2100</w:t>
      </w:r>
      <w:r>
        <w:t xml:space="preserve"> </w:t>
      </w:r>
      <w:r>
        <w:t xml:space="preserve">Wilmington, Delaware 19801</w:t>
      </w:r>
      <w:r>
        <w:t xml:space="preserve"> </w:t>
      </w:r>
      <w:r>
        <w:t xml:space="preserve">Telephone (302) 555-0140</w:t>
      </w:r>
    </w:p>
    <w:p>
      <w:pPr>
        <w:pStyle w:val="BodyText"/>
      </w:pPr>
      <w:r>
        <w:t xml:space="preserve">June 2, 2026</w:t>
      </w:r>
    </w:p>
    <w:p>
      <w:pPr>
        <w:pStyle w:val="BodyText"/>
      </w:pPr>
      <w:r>
        <w:t xml:space="preserve">Ms. Priya Raghunathan</w:t>
      </w:r>
      <w:r>
        <w:t xml:space="preserve"> </w:t>
      </w:r>
      <w:r>
        <w:t xml:space="preserve">General Counsel and Corporate Secretary</w:t>
      </w:r>
      <w:r>
        <w:t xml:space="preserve"> </w:t>
      </w:r>
      <w:r>
        <w:t xml:space="preserve">Atticus Dundee Inc.</w:t>
      </w:r>
      <w:r>
        <w:t xml:space="preserve"> </w:t>
      </w:r>
      <w:r>
        <w:t xml:space="preserve">1450 Halverson Quay, Suite 600</w:t>
      </w:r>
      <w:r>
        <w:t xml:space="preserve"> </w:t>
      </w:r>
      <w:r>
        <w:t xml:space="preserve">Wilmington, Delaware 19801</w:t>
      </w:r>
    </w:p>
    <w:p>
      <w:pPr>
        <w:pStyle w:val="BodyText"/>
      </w:pPr>
      <w:r>
        <w:rPr>
          <w:b/>
          <w:bCs/>
        </w:rPr>
        <w:t xml:space="preserve">Re: Engagement for the proposed acquisition of TechBridge Solutions Inc. (internally,</w:t>
      </w:r>
      <w:r>
        <w:rPr>
          <w:b/>
          <w:bCs/>
        </w:rPr>
        <w:t xml:space="preserve"> </w:t>
      </w:r>
      <w:r>
        <w:rPr>
          <w:b/>
          <w:bCs/>
        </w:rPr>
        <w:t xml:space="preserve">“Project Beacon”</w:t>
      </w:r>
      <w:r>
        <w:rPr>
          <w:b/>
          <w:bCs/>
        </w:rPr>
        <w:t xml:space="preserve">) — Matter No. 2026-0417</w:t>
      </w:r>
    </w:p>
    <w:p>
      <w:pPr>
        <w:pStyle w:val="BodyText"/>
      </w:pPr>
      <w:r>
        <w:t xml:space="preserve">Dear Ms. Raghunathan:</w:t>
      </w:r>
    </w:p>
    <w:p>
      <w:pPr>
        <w:pStyle w:val="BodyText"/>
      </w:pPr>
      <w:r>
        <w:t xml:space="preserve">Thank you for asking Atticus Dundee LLP (the</w:t>
      </w:r>
      <w:r>
        <w:t xml:space="preserve"> </w:t>
      </w:r>
      <w:r>
        <w:t xml:space="preserve">“</w:t>
      </w:r>
      <w:r>
        <w:rPr>
          <w:b/>
          <w:bCs/>
        </w:rPr>
        <w:t xml:space="preserve">Firm</w:t>
      </w:r>
      <w:r>
        <w:t xml:space="preserve">”</w:t>
      </w:r>
      <w:r>
        <w:t xml:space="preserve">) to represent Atticus Dundee Inc. (the</w:t>
      </w:r>
      <w:r>
        <w:t xml:space="preserve"> </w:t>
      </w:r>
      <w:r>
        <w:t xml:space="preserve">“</w:t>
      </w:r>
      <w:r>
        <w:rPr>
          <w:b/>
          <w:bCs/>
        </w:rPr>
        <w:t xml:space="preserve">Company</w:t>
      </w:r>
      <w:r>
        <w:t xml:space="preserve">”</w:t>
      </w:r>
      <w:r>
        <w:t xml:space="preserve"> </w:t>
      </w:r>
      <w:r>
        <w:t xml:space="preserve">or</w:t>
      </w:r>
      <w:r>
        <w:t xml:space="preserve"> </w:t>
      </w:r>
      <w:r>
        <w:t xml:space="preserve">“</w:t>
      </w:r>
      <w:r>
        <w:rPr>
          <w:b/>
          <w:bCs/>
        </w:rPr>
        <w:t xml:space="preserve">you</w:t>
      </w:r>
      <w:r>
        <w:t xml:space="preserve">”</w:t>
      </w:r>
      <w:r>
        <w:t xml:space="preserve">) in connection with the matter described below. This letter, together with Attachment A (Billing Guidelines), sets out the terms of our engagement. We ask that you review it, and, if it reflects your understanding, sign and return the acknowledgment on the last page.</w:t>
      </w:r>
    </w:p>
    <w:bookmarkStart w:id="9" w:name="scope-of-the-engagement"/>
    <w:p>
      <w:pPr>
        <w:pStyle w:val="Heading2"/>
      </w:pPr>
      <w:r>
        <w:t xml:space="preserve">1. Scope of the Engagement</w:t>
      </w:r>
    </w:p>
    <w:p>
      <w:pPr>
        <w:pStyle w:val="FirstParagraph"/>
      </w:pPr>
      <w:r>
        <w:rPr>
          <w:b/>
          <w:bCs/>
        </w:rPr>
        <w:t xml:space="preserve">1.1 The Matter.</w:t>
      </w:r>
      <w:r>
        <w:t xml:space="preserve"> </w:t>
      </w:r>
      <w:r>
        <w:t xml:space="preserve">The Firm will represent the Company in connection with</w:t>
      </w:r>
      <w:r>
        <w:t xml:space="preserve"> </w:t>
      </w:r>
      <w:r>
        <w:rPr>
          <w:b/>
          <w:bCs/>
        </w:rPr>
        <w:t xml:space="preserve">the proposed acquisition by the Company of all of the issued and outstanding equity interests of TechBridge Solutions Inc., a Delaware corporation</w:t>
      </w:r>
      <w:r>
        <w:t xml:space="preserve"> </w:t>
      </w:r>
      <w:r>
        <w:t xml:space="preserve">(the</w:t>
      </w:r>
      <w:r>
        <w:t xml:space="preserve"> </w:t>
      </w:r>
      <w:r>
        <w:t xml:space="preserve">“</w:t>
      </w:r>
      <w:r>
        <w:rPr>
          <w:b/>
          <w:bCs/>
        </w:rPr>
        <w:t xml:space="preserve">Target</w:t>
      </w:r>
      <w:r>
        <w:t xml:space="preserve">”</w:t>
      </w:r>
      <w:r>
        <w:t xml:space="preserve">), and the transactions related to that acquisition (the</w:t>
      </w:r>
      <w:r>
        <w:t xml:space="preserve"> </w:t>
      </w:r>
      <w:r>
        <w:t xml:space="preserve">“</w:t>
      </w:r>
      <w:r>
        <w:rPr>
          <w:b/>
          <w:bCs/>
        </w:rPr>
        <w:t xml:space="preserve">Matter</w:t>
      </w:r>
      <w:r>
        <w:t xml:space="preserve">”</w:t>
      </w:r>
      <w:r>
        <w:t xml:space="preserve">).</w:t>
      </w:r>
    </w:p>
    <w:p>
      <w:pPr>
        <w:pStyle w:val="BodyText"/>
      </w:pPr>
      <w:r>
        <w:rPr>
          <w:b/>
          <w:bCs/>
        </w:rPr>
        <w:t xml:space="preserve">1.2 Included Services.</w:t>
      </w:r>
      <w:r>
        <w:t xml:space="preserve"> </w:t>
      </w:r>
      <w:r>
        <w:t xml:space="preserve">Our representation in the Matter includes:</w:t>
      </w:r>
    </w:p>
    <w:p>
      <w:pPr>
        <w:numPr>
          <w:ilvl w:val="0"/>
          <w:numId w:val="1001"/>
        </w:numPr>
      </w:pPr>
      <w:r>
        <w:t xml:space="preserve">legal due diligence on the Target, including corporate, commercial, intellectual property, data protection, employment, and litigation diligence, and the preparation of a diligence report and issues list;</w:t>
      </w:r>
    </w:p>
    <w:p>
      <w:pPr>
        <w:numPr>
          <w:ilvl w:val="0"/>
          <w:numId w:val="1001"/>
        </w:numPr>
      </w:pPr>
      <w:r>
        <w:t xml:space="preserve">advice on transaction structure, in coordination with your tax advisors;</w:t>
      </w:r>
    </w:p>
    <w:p>
      <w:pPr>
        <w:numPr>
          <w:ilvl w:val="0"/>
          <w:numId w:val="1001"/>
        </w:numPr>
      </w:pPr>
      <w:r>
        <w:t xml:space="preserve">preparation and negotiation of the letter of intent, the equity purchase agreement, disclosure schedules, and the ancillary agreements, including escrow, transition services, non-competition, and employment and equity-rollover agreements for continuing Target personnel;</w:t>
      </w:r>
    </w:p>
    <w:p>
      <w:pPr>
        <w:numPr>
          <w:ilvl w:val="0"/>
          <w:numId w:val="1001"/>
        </w:numPr>
      </w:pPr>
      <w:r>
        <w:t xml:space="preserve">analysis of filing obligations under the Hart-Scott-Rodino Antitrust Improvements Act and, if a filing is required, preparation and submission of the notification on the Company’s behalf;</w:t>
      </w:r>
    </w:p>
    <w:p>
      <w:pPr>
        <w:numPr>
          <w:ilvl w:val="0"/>
          <w:numId w:val="1001"/>
        </w:numPr>
      </w:pPr>
      <w:r>
        <w:t xml:space="preserve">advice on employee, benefits, and equity-compensation matters arising from the acquisition;</w:t>
      </w:r>
    </w:p>
    <w:p>
      <w:pPr>
        <w:numPr>
          <w:ilvl w:val="0"/>
          <w:numId w:val="1001"/>
        </w:numPr>
      </w:pPr>
      <w:r>
        <w:t xml:space="preserve">preparation of board and stockholder consents and related corporate authorizations for the Company; and</w:t>
      </w:r>
    </w:p>
    <w:p>
      <w:pPr>
        <w:numPr>
          <w:ilvl w:val="0"/>
          <w:numId w:val="1001"/>
        </w:numPr>
      </w:pPr>
      <w:r>
        <w:t xml:space="preserve">management of signing and closing, including closing deliverables, funds flow coordination, and post-closing filings.</w:t>
      </w:r>
    </w:p>
    <w:p>
      <w:pPr>
        <w:pStyle w:val="FirstParagraph"/>
      </w:pPr>
      <w:r>
        <w:rPr>
          <w:b/>
          <w:bCs/>
        </w:rPr>
        <w:t xml:space="preserve">1.3 Excluded Services.</w:t>
      </w:r>
      <w:r>
        <w:t xml:space="preserve"> </w:t>
      </w:r>
      <w:r>
        <w:t xml:space="preserve">Unless we agree otherwise in writing, the Matter does not include: tax opinions or tax return preparation; securities registration or financing work, including any debt or equity financing used to fund the acquisition; the prosecution or maintenance of patents, trademarks, or other registered intellectual property; litigation, arbitration, or the defense of any regulatory investigation; advice on the laws of any jurisdiction outside the United States; environmental site assessment; real property title work; post-closing integration; and any lobbying or government relations activity. If you would like the Firm to take on any of that work, we will confirm the expanded scope in writing, and this letter will otherwise continue to apply.</w:t>
      </w:r>
    </w:p>
    <w:p>
      <w:pPr>
        <w:pStyle w:val="BodyText"/>
      </w:pPr>
      <w:r>
        <w:rPr>
          <w:b/>
          <w:bCs/>
        </w:rPr>
        <w:t xml:space="preserve">1.4 No Assurance of Outcome.</w:t>
      </w:r>
      <w:r>
        <w:t xml:space="preserve"> </w:t>
      </w:r>
      <w:r>
        <w:t xml:space="preserve">We will represent you diligently and competently, but we cannot and do not guarantee any particular outcome, including that the acquisition will be completed or completed on any particular terms or schedule. Any estimate of timing, outcome, or cost is a professional judgment based on presently known facts and not a promise.</w:t>
      </w:r>
    </w:p>
    <w:bookmarkEnd w:id="9"/>
    <w:bookmarkStart w:id="10" w:name="our-client"/>
    <w:p>
      <w:pPr>
        <w:pStyle w:val="Heading2"/>
      </w:pPr>
      <w:r>
        <w:t xml:space="preserve">2. Our Client</w:t>
      </w:r>
    </w:p>
    <w:p>
      <w:pPr>
        <w:pStyle w:val="FirstParagraph"/>
      </w:pPr>
      <w:r>
        <w:t xml:space="preserve">Our client in this Matter is Atticus Dundee Inc. only. Our representation does not create an attorney-client relationship with any parent, subsidiary, affiliate, joint venture, stockholder, director, officer, or employee of the Company, and we do not represent any of them in the Matter unless we agree to do so in a separate writing. Communications between the Firm and the Company’s directors, officers, and employees are made for the purpose of providing legal advice to the Company, and the privilege in those communications belongs to the Company.</w:t>
      </w:r>
    </w:p>
    <w:bookmarkEnd w:id="10"/>
    <w:bookmarkStart w:id="11" w:name="staffing"/>
    <w:p>
      <w:pPr>
        <w:pStyle w:val="Heading2"/>
      </w:pPr>
      <w:r>
        <w:t xml:space="preserve">3. Staffing</w:t>
      </w:r>
    </w:p>
    <w:p>
      <w:pPr>
        <w:pStyle w:val="FirstParagraph"/>
      </w:pPr>
      <w:r>
        <w:rPr>
          <w:b/>
          <w:bCs/>
        </w:rPr>
        <w:t xml:space="preserve">3.1 Core Team.</w:t>
      </w:r>
      <w:r>
        <w:t xml:space="preserve"> </w:t>
      </w:r>
      <w:r>
        <w:t xml:space="preserve">The following lawyers and paraprofessionals constitute the core team for the Matter (the</w:t>
      </w:r>
      <w:r>
        <w:t xml:space="preserve"> </w:t>
      </w:r>
      <w:r>
        <w:t xml:space="preserve">“</w:t>
      </w:r>
      <w:r>
        <w:rPr>
          <w:b/>
          <w:bCs/>
        </w:rPr>
        <w:t xml:space="preserve">Core Team</w:t>
      </w:r>
      <w:r>
        <w:t xml:space="preserve">”</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Role in the Matter</w:t>
            </w:r>
          </w:p>
        </w:tc>
        <w:tc>
          <w:tcPr/>
          <w:p>
            <w:pPr>
              <w:pStyle w:val="Compact"/>
            </w:pPr>
            <w:r>
              <w:t xml:space="preserve">Position</w:t>
            </w:r>
          </w:p>
        </w:tc>
        <w:tc>
          <w:tcPr/>
          <w:p>
            <w:pPr>
              <w:pStyle w:val="Compact"/>
            </w:pPr>
            <w:r>
              <w:t xml:space="preserve">Hourly rate</w:t>
            </w:r>
          </w:p>
        </w:tc>
      </w:tr>
      <w:tr>
        <w:tc>
          <w:tcPr/>
          <w:p>
            <w:pPr>
              <w:pStyle w:val="Compact"/>
            </w:pPr>
            <w:r>
              <w:t xml:space="preserve">Jonathan K. Sterling</w:t>
            </w:r>
          </w:p>
        </w:tc>
        <w:tc>
          <w:tcPr/>
          <w:p>
            <w:pPr>
              <w:pStyle w:val="Compact"/>
            </w:pPr>
            <w:r>
              <w:t xml:space="preserve">Engagement partner; overall responsibility, negotiation lead</w:t>
            </w:r>
          </w:p>
        </w:tc>
        <w:tc>
          <w:tcPr/>
          <w:p>
            <w:pPr>
              <w:pStyle w:val="Compact"/>
            </w:pPr>
            <w:r>
              <w:t xml:space="preserve">Partner, Mergers and Acquisitions</w:t>
            </w:r>
          </w:p>
        </w:tc>
        <w:tc>
          <w:tcPr/>
          <w:p>
            <w:pPr>
              <w:pStyle w:val="Compact"/>
            </w:pPr>
            <w:r>
              <w:t xml:space="preserve">$985</w:t>
            </w:r>
          </w:p>
        </w:tc>
      </w:tr>
      <w:tr>
        <w:tc>
          <w:tcPr/>
          <w:p>
            <w:pPr>
              <w:pStyle w:val="Compact"/>
            </w:pPr>
            <w:r>
              <w:t xml:space="preserve">Amara Diallo-Reyes</w:t>
            </w:r>
          </w:p>
        </w:tc>
        <w:tc>
          <w:tcPr/>
          <w:p>
            <w:pPr>
              <w:pStyle w:val="Compact"/>
            </w:pPr>
            <w:r>
              <w:t xml:space="preserve">Technology, intellectual property, and data protection workstreams</w:t>
            </w:r>
          </w:p>
        </w:tc>
        <w:tc>
          <w:tcPr/>
          <w:p>
            <w:pPr>
              <w:pStyle w:val="Compact"/>
            </w:pPr>
            <w:r>
              <w:t xml:space="preserve">Partner, Technology Transactions</w:t>
            </w:r>
          </w:p>
        </w:tc>
        <w:tc>
          <w:tcPr/>
          <w:p>
            <w:pPr>
              <w:pStyle w:val="Compact"/>
            </w:pPr>
            <w:r>
              <w:t xml:space="preserve">$940</w:t>
            </w:r>
          </w:p>
        </w:tc>
      </w:tr>
      <w:tr>
        <w:tc>
          <w:tcPr/>
          <w:p>
            <w:pPr>
              <w:pStyle w:val="Compact"/>
            </w:pPr>
            <w:r>
              <w:t xml:space="preserve">Corinne Whitfield</w:t>
            </w:r>
          </w:p>
        </w:tc>
        <w:tc>
          <w:tcPr/>
          <w:p>
            <w:pPr>
              <w:pStyle w:val="Compact"/>
            </w:pPr>
            <w:r>
              <w:t xml:space="preserve">Employee benefits, executive compensation, and equity rollover</w:t>
            </w:r>
          </w:p>
        </w:tc>
        <w:tc>
          <w:tcPr/>
          <w:p>
            <w:pPr>
              <w:pStyle w:val="Compact"/>
            </w:pPr>
            <w:r>
              <w:t xml:space="preserve">Counsel, Benefits and Compensation</w:t>
            </w:r>
          </w:p>
        </w:tc>
        <w:tc>
          <w:tcPr/>
          <w:p>
            <w:pPr>
              <w:pStyle w:val="Compact"/>
            </w:pPr>
            <w:r>
              <w:t xml:space="preserve">$760</w:t>
            </w:r>
          </w:p>
        </w:tc>
      </w:tr>
      <w:tr>
        <w:tc>
          <w:tcPr/>
          <w:p>
            <w:pPr>
              <w:pStyle w:val="Compact"/>
            </w:pPr>
            <w:r>
              <w:t xml:space="preserve">Lucian Petrosyan</w:t>
            </w:r>
          </w:p>
        </w:tc>
        <w:tc>
          <w:tcPr/>
          <w:p>
            <w:pPr>
              <w:pStyle w:val="Compact"/>
            </w:pPr>
            <w:r>
              <w:t xml:space="preserve">Day-to-day drafting, diligence management, closing mechanics</w:t>
            </w:r>
          </w:p>
        </w:tc>
        <w:tc>
          <w:tcPr/>
          <w:p>
            <w:pPr>
              <w:pStyle w:val="Compact"/>
            </w:pPr>
            <w:r>
              <w:t xml:space="preserve">Senior Associate, Corporate</w:t>
            </w:r>
          </w:p>
        </w:tc>
        <w:tc>
          <w:tcPr/>
          <w:p>
            <w:pPr>
              <w:pStyle w:val="Compact"/>
            </w:pPr>
            <w:r>
              <w:t xml:space="preserve">$620</w:t>
            </w:r>
          </w:p>
        </w:tc>
      </w:tr>
      <w:tr>
        <w:tc>
          <w:tcPr/>
          <w:p>
            <w:pPr>
              <w:pStyle w:val="Compact"/>
            </w:pPr>
            <w:r>
              <w:t xml:space="preserve">Hana Ishibashi-Cole</w:t>
            </w:r>
          </w:p>
        </w:tc>
        <w:tc>
          <w:tcPr/>
          <w:p>
            <w:pPr>
              <w:pStyle w:val="Compact"/>
            </w:pPr>
            <w:r>
              <w:t xml:space="preserve">Diligence review, disclosure schedules, corporate authorizations</w:t>
            </w:r>
          </w:p>
        </w:tc>
        <w:tc>
          <w:tcPr/>
          <w:p>
            <w:pPr>
              <w:pStyle w:val="Compact"/>
            </w:pPr>
            <w:r>
              <w:t xml:space="preserve">Associate, Corporate</w:t>
            </w:r>
          </w:p>
        </w:tc>
        <w:tc>
          <w:tcPr/>
          <w:p>
            <w:pPr>
              <w:pStyle w:val="Compact"/>
            </w:pPr>
            <w:r>
              <w:t xml:space="preserve">$475</w:t>
            </w:r>
          </w:p>
        </w:tc>
      </w:tr>
      <w:tr>
        <w:tc>
          <w:tcPr/>
          <w:p>
            <w:pPr>
              <w:pStyle w:val="Compact"/>
            </w:pPr>
            <w:r>
              <w:t xml:space="preserve">Bernadette Oyelaran</w:t>
            </w:r>
          </w:p>
        </w:tc>
        <w:tc>
          <w:tcPr/>
          <w:p>
            <w:pPr>
              <w:pStyle w:val="Compact"/>
            </w:pPr>
            <w:r>
              <w:t xml:space="preserve">Closing checklist, signature management, filings</w:t>
            </w:r>
          </w:p>
        </w:tc>
        <w:tc>
          <w:tcPr/>
          <w:p>
            <w:pPr>
              <w:pStyle w:val="Compact"/>
            </w:pPr>
            <w:r>
              <w:t xml:space="preserve">Senior Paralegal</w:t>
            </w:r>
          </w:p>
        </w:tc>
        <w:tc>
          <w:tcPr/>
          <w:p>
            <w:pPr>
              <w:pStyle w:val="Compact"/>
            </w:pPr>
            <w:r>
              <w:t xml:space="preserve">$265</w:t>
            </w:r>
          </w:p>
        </w:tc>
      </w:tr>
    </w:tbl>
    <w:p>
      <w:pPr>
        <w:pStyle w:val="BodyText"/>
      </w:pPr>
      <w:r>
        <w:t xml:space="preserve">Jonathan K. Sterling is the partner responsible for the Matter and your primary point of contact. Lucian Petrosyan is the day-to-day contact.</w:t>
      </w:r>
    </w:p>
    <w:p>
      <w:pPr>
        <w:pStyle w:val="BodyText"/>
      </w:pPr>
      <w:r>
        <w:rPr>
          <w:b/>
          <w:bCs/>
        </w:rPr>
        <w:t xml:space="preserve">3.2 Substitution of Core Team Members.</w:t>
      </w:r>
      <w:r>
        <w:t xml:space="preserve"> </w:t>
      </w:r>
      <w:r>
        <w:t xml:space="preserve">The Firm will not substitute or remove any member of the Core Team without giving the Company</w:t>
      </w:r>
      <w:r>
        <w:t xml:space="preserve"> </w:t>
      </w:r>
      <w:r>
        <w:rPr>
          <w:b/>
          <w:bCs/>
        </w:rPr>
        <w:t xml:space="preserve">at least fourteen (14) days’ prior written notice</w:t>
      </w:r>
      <w:r>
        <w:t xml:space="preserve">, except where the departure, illness, or unavailability of an individual makes that notice impracticable, in which case the Firm will notify the Company as soon as reasonably possible and in any event within two (2) business days. Any proposed substitute will be of comparable seniority and relevant experience. The Company may object to a proposed substitution, and the Firm will not bill the Company for time spent by a substitute to whom the Company has objected, other than time reasonably required for an orderly transition.</w:t>
      </w:r>
    </w:p>
    <w:p>
      <w:pPr>
        <w:pStyle w:val="BodyText"/>
      </w:pPr>
      <w:r>
        <w:rPr>
          <w:b/>
          <w:bCs/>
        </w:rPr>
        <w:t xml:space="preserve">3.3 Additional Timekeepers.</w:t>
      </w:r>
      <w:r>
        <w:t xml:space="preserve"> </w:t>
      </w:r>
      <w:r>
        <w:t xml:space="preserve">From time to time the Firm may staff discrete tasks to additional lawyers or paraprofessionals outside the Core Team where doing so is efficient or requires specialized expertise. The Firm will not assign any additional timekeeper who is expected to bill more than twenty (20) hours to the Matter without the Company’s prior approval, which may be given by email.</w:t>
      </w:r>
    </w:p>
    <w:p>
      <w:pPr>
        <w:pStyle w:val="BodyText"/>
      </w:pPr>
      <w:r>
        <w:rPr>
          <w:b/>
          <w:bCs/>
        </w:rPr>
        <w:t xml:space="preserve">3.4 No Contract Lawyers or Outsourcing Without Consent.</w:t>
      </w:r>
      <w:r>
        <w:t xml:space="preserve"> </w:t>
      </w:r>
      <w:r>
        <w:t xml:space="preserve">The Firm will not use contract attorneys, staffing agencies, or offshore service providers on the Matter without the Company’s prior written consent, and will not charge the Company more than the Firm’s actual cost for any such personnel.</w:t>
      </w:r>
    </w:p>
    <w:bookmarkEnd w:id="11"/>
    <w:bookmarkStart w:id="12" w:name="fees"/>
    <w:p>
      <w:pPr>
        <w:pStyle w:val="Heading2"/>
      </w:pPr>
      <w:r>
        <w:t xml:space="preserve">4. Fees</w:t>
      </w:r>
    </w:p>
    <w:p>
      <w:pPr>
        <w:pStyle w:val="FirstParagraph"/>
      </w:pPr>
      <w:r>
        <w:rPr>
          <w:b/>
          <w:bCs/>
        </w:rPr>
        <w:t xml:space="preserve">4.1 Hourly Rates.</w:t>
      </w:r>
      <w:r>
        <w:t xml:space="preserve"> </w:t>
      </w:r>
      <w:r>
        <w:t xml:space="preserve">Our fees for the Matter are based on the time spent by the lawyers and paraprofessionals who work on it, at the rates set out in Section 3.1. Time is recorded in increments of one tenth (0.1) of an hour.</w:t>
      </w:r>
    </w:p>
    <w:p>
      <w:pPr>
        <w:pStyle w:val="BodyText"/>
      </w:pPr>
      <w:r>
        <w:rPr>
          <w:b/>
          <w:bCs/>
        </w:rPr>
        <w:t xml:space="preserve">4.2 Rate Changes.</w:t>
      </w:r>
      <w:r>
        <w:t xml:space="preserve"> </w:t>
      </w:r>
      <w:r>
        <w:t xml:space="preserve">The Firm ordinarily adjusts its rates effective January 1 of each year. The rates set out in Section 3.1 are guaranteed for the duration of the Matter through December 31, 2026. Any adjustment effective January 1, 2027 will not exceed five percent (5%) over the rates set out in Section 3.1, and the Firm will give the Company written notice of the adjusted rates at least sixty (60) days before they take effect. If the Company does not accept an adjustment, the Company may terminate this engagement under Section 11 without penalty.</w:t>
      </w:r>
    </w:p>
    <w:p>
      <w:pPr>
        <w:pStyle w:val="BodyText"/>
      </w:pPr>
      <w:r>
        <w:rPr>
          <w:b/>
          <w:bCs/>
        </w:rPr>
        <w:t xml:space="preserve">4.3 Disbursements.</w:t>
      </w:r>
      <w:r>
        <w:t xml:space="preserve"> </w:t>
      </w:r>
      <w:r>
        <w:t xml:space="preserve">In addition to fees, we will charge for out-of-pocket disbursements reasonably incurred on your behalf, such as filing fees, court and agency charges, third-party diligence database searches, certified copies, and approved travel. Disbursements are billed at the Firm’s actual cost without markup. The Firm does not charge separately for ordinary overhead, including secretarial time, word processing, local telephone, in-house photocopying, or standard legal research subscriptions. Any single disbursement over one thousand dollars ($1,000) requires the Company’s prior approval, which may be given by email.</w:t>
      </w:r>
    </w:p>
    <w:bookmarkEnd w:id="12"/>
    <w:bookmarkStart w:id="13" w:name="estimated-budget"/>
    <w:p>
      <w:pPr>
        <w:pStyle w:val="Heading2"/>
      </w:pPr>
      <w:r>
        <w:t xml:space="preserve">5. Estimated Budget</w:t>
      </w:r>
    </w:p>
    <w:p>
      <w:pPr>
        <w:pStyle w:val="FirstParagraph"/>
      </w:pPr>
      <w:r>
        <w:rPr>
          <w:b/>
          <w:bCs/>
        </w:rPr>
        <w:t xml:space="preserve">5.1 Estimate.</w:t>
      </w:r>
      <w:r>
        <w:t xml:space="preserve"> </w:t>
      </w:r>
      <w:r>
        <w:t xml:space="preserve">Based on the scope described in Section 1 and our present understanding of the Target and the transaction, we estimate that our fees for the Matter through signing of the equity purchase agreement will be approximately</w:t>
      </w:r>
      <w:r>
        <w:t xml:space="preserve"> </w:t>
      </w:r>
      <w:r>
        <w:rPr>
          <w:b/>
          <w:bCs/>
        </w:rPr>
        <w:t xml:space="preserve">two hundred thousand dollars ($200,000)</w:t>
      </w:r>
      <w:r>
        <w:t xml:space="preserve">, exclusive of disbursements and of any expanded scope agreed under Section 1.3.</w:t>
      </w:r>
    </w:p>
    <w:p>
      <w:pPr>
        <w:pStyle w:val="BodyText"/>
      </w:pPr>
      <w:r>
        <w:rPr>
          <w:b/>
          <w:bCs/>
        </w:rPr>
        <w:t xml:space="preserve">5.2 The Estimate Is Not a Cap.</w:t>
      </w:r>
      <w:r>
        <w:t xml:space="preserve"> </w:t>
      </w:r>
      <w:r>
        <w:rPr>
          <w:b/>
          <w:bCs/>
        </w:rPr>
        <w:t xml:space="preserve">This figure is a good-faith estimate and not a fixed fee, a quotation, a cap, or a commitment to perform the Matter for that amount.</w:t>
      </w:r>
      <w:r>
        <w:t xml:space="preserve"> </w:t>
      </w:r>
      <w:r>
        <w:t xml:space="preserve">Our fees will be based on time actually and reasonably spent at the rates set out in Section 3.1, and may be more or less than the estimate. The estimate assumes, among other things, a single round of confirmatory diligence, a cooperative counterparty, no auction process, no HSR second request, no material litigation or regulatory issue discovered in diligence, and delivery of the Target’s diligence materials in substantially complete form within the first three weeks of the engagement.</w:t>
      </w:r>
    </w:p>
    <w:p>
      <w:pPr>
        <w:pStyle w:val="BodyText"/>
      </w:pPr>
      <w:r>
        <w:rPr>
          <w:b/>
          <w:bCs/>
        </w:rPr>
        <w:t xml:space="preserve">5.3 Re-Forecasting.</w:t>
      </w:r>
      <w:r>
        <w:t xml:space="preserve"> </w:t>
      </w:r>
      <w:r>
        <w:t xml:space="preserve">The Firm will notify the Company in writing promptly on determining that cumulative fees for the Matter are likely to exceed the estimate in Section 5.1 by more than ten percent (10%), and will provide a revised estimate together with an explanation of the variance. The Firm will provide a revised estimate at any time on the Company’s request, and in any event on the earlier of the execution of the letter of intent and the sixtieth (60th) day of the engagement.</w:t>
      </w:r>
    </w:p>
    <w:p>
      <w:pPr>
        <w:pStyle w:val="BodyText"/>
      </w:pPr>
      <w:r>
        <w:rPr>
          <w:b/>
          <w:bCs/>
        </w:rPr>
        <w:t xml:space="preserve">5.4 Budget Reporting.</w:t>
      </w:r>
      <w:r>
        <w:t xml:space="preserve"> </w:t>
      </w:r>
      <w:r>
        <w:t xml:space="preserve">Each monthly invoice will show fees for the period, cumulative fees for the Matter, and cumulative fees as a percentage of the then-current estimate.</w:t>
      </w:r>
    </w:p>
    <w:bookmarkEnd w:id="13"/>
    <w:bookmarkStart w:id="14" w:name="invoices-and-payment"/>
    <w:p>
      <w:pPr>
        <w:pStyle w:val="Heading2"/>
      </w:pPr>
      <w:r>
        <w:t xml:space="preserve">6. Invoices and Payment</w:t>
      </w:r>
    </w:p>
    <w:p>
      <w:pPr>
        <w:pStyle w:val="FirstParagraph"/>
      </w:pPr>
      <w:r>
        <w:rPr>
          <w:b/>
          <w:bCs/>
        </w:rPr>
        <w:t xml:space="preserve">6.1 Invoices.</w:t>
      </w:r>
      <w:r>
        <w:t xml:space="preserve"> </w:t>
      </w:r>
      <w:r>
        <w:t xml:space="preserve">We will invoice monthly, in arrears, ordinarily by the fifteenth (15th) day of the following month. Each invoice will identify the timekeeper, date, time recorded, and a description of the work performed for each entry, in accordance with the Billing Guidelines attached as</w:t>
      </w:r>
      <w:r>
        <w:t xml:space="preserve"> </w:t>
      </w:r>
      <w:r>
        <w:rPr>
          <w:b/>
          <w:bCs/>
        </w:rPr>
        <w:t xml:space="preserve">Attachment A</w:t>
      </w:r>
      <w:r>
        <w:t xml:space="preserve">.</w:t>
      </w:r>
    </w:p>
    <w:p>
      <w:pPr>
        <w:pStyle w:val="BodyText"/>
      </w:pPr>
      <w:r>
        <w:rPr>
          <w:b/>
          <w:bCs/>
        </w:rPr>
        <w:t xml:space="preserve">6.2 Electronic Billing.</w:t>
      </w:r>
      <w:r>
        <w:t xml:space="preserve"> </w:t>
      </w:r>
      <w:r>
        <w:t xml:space="preserve">At the Company’s request, the Firm will deliver invoices in LEDES 1998B format with UTBMS task and activity codes applied at the line-item level, in addition to a portable document format copy.</w:t>
      </w:r>
    </w:p>
    <w:p>
      <w:pPr>
        <w:pStyle w:val="BodyText"/>
      </w:pPr>
      <w:r>
        <w:rPr>
          <w:b/>
          <w:bCs/>
        </w:rPr>
        <w:t xml:space="preserve">6.3 Payment.</w:t>
      </w:r>
      <w:r>
        <w:t xml:space="preserve"> </w:t>
      </w:r>
      <w:r>
        <w:t xml:space="preserve">Invoices are payable within thirty (30) days of receipt. Amounts unpaid more than sixty (60) days after receipt of the invoice accrue interest at one percent (1%) per month, or the maximum rate permitted by applicable law if lower.</w:t>
      </w:r>
    </w:p>
    <w:p>
      <w:pPr>
        <w:pStyle w:val="BodyText"/>
      </w:pPr>
      <w:r>
        <w:rPr>
          <w:b/>
          <w:bCs/>
        </w:rPr>
        <w:t xml:space="preserve">6.4 Disputed Invoices.</w:t>
      </w:r>
      <w:r>
        <w:t xml:space="preserve"> </w:t>
      </w:r>
      <w:r>
        <w:t xml:space="preserve">If the Company disputes any portion of an invoice in good faith, it will pay the undisputed portion when due and notify the Firm of the disputed portion within thirty (30) days of receipt of the invoice, identifying the entries in question and the basis for the dispute. The Firm will respond within ten (10) business days, and the Parties will confer in good faith to resolve the dispute. Interest does not accrue on a properly disputed amount while the dispute is pending.</w:t>
      </w:r>
    </w:p>
    <w:p>
      <w:pPr>
        <w:pStyle w:val="BodyText"/>
      </w:pPr>
      <w:r>
        <w:rPr>
          <w:b/>
          <w:bCs/>
        </w:rPr>
        <w:t xml:space="preserve">6.5 Retainer.</w:t>
      </w:r>
      <w:r>
        <w:t xml:space="preserve"> </w:t>
      </w:r>
      <w:r>
        <w:t xml:space="preserve">The Company will deposit with the Firm an advance payment retainer of twenty-five thousand dollars ($25,000), which the Firm will hold in its client trust account and apply against the final invoice for the Matter, refunding any unapplied balance within thirty (30) days after the conclusion or termination of the engagement. The retainer is not an estimate of, or a limit on, total fees.</w:t>
      </w:r>
    </w:p>
    <w:bookmarkEnd w:id="14"/>
    <w:bookmarkStart w:id="15" w:name="conflicts-of-interest"/>
    <w:p>
      <w:pPr>
        <w:pStyle w:val="Heading2"/>
      </w:pPr>
      <w:r>
        <w:t xml:space="preserve">7. Conflicts of Interest</w:t>
      </w:r>
    </w:p>
    <w:p>
      <w:pPr>
        <w:pStyle w:val="FirstParagraph"/>
      </w:pPr>
      <w:r>
        <w:rPr>
          <w:b/>
          <w:bCs/>
        </w:rPr>
        <w:t xml:space="preserve">7.1 Conflicts Search.</w:t>
      </w:r>
      <w:r>
        <w:t xml:space="preserve"> </w:t>
      </w:r>
      <w:r>
        <w:t xml:space="preserve">Before accepting this engagement, the Firm conducted a conflicts search against the Company, the Target, and the parties identified to us as participating in or related to the transaction. That search did not identify any conflict that would prevent the Firm from undertaking the Matter under the Delaware Lawyers’ Rules of Professional Conduct.</w:t>
      </w:r>
    </w:p>
    <w:p>
      <w:pPr>
        <w:pStyle w:val="BodyText"/>
      </w:pPr>
      <w:r>
        <w:rPr>
          <w:b/>
          <w:bCs/>
        </w:rPr>
        <w:t xml:space="preserve">7.2 Disclosed Relationships.</w:t>
      </w:r>
      <w:r>
        <w:t xml:space="preserve"> </w:t>
      </w:r>
      <w:r>
        <w:t xml:space="preserve">The search did identify the following relationships, which we disclose to you: the Firm represents HealthFirst Technologies Inc. in compliance and regulatory matters unrelated to the Matter. Based on the information available to us, HealthFirst Technologies Inc. is not a party to the Matter and its interests are not directly adverse to the Company’s interests in the Matter. We will not use any confidential information of HealthFirst Technologies Inc. in the Matter, and we will not use any confidential information of the Company in any matter for HealthFirst Technologies Inc.</w:t>
      </w:r>
    </w:p>
    <w:p>
      <w:pPr>
        <w:pStyle w:val="BodyText"/>
      </w:pPr>
      <w:r>
        <w:rPr>
          <w:b/>
          <w:bCs/>
        </w:rPr>
        <w:t xml:space="preserve">7.3 Ongoing Duty.</w:t>
      </w:r>
      <w:r>
        <w:t xml:space="preserve"> </w:t>
      </w:r>
      <w:r>
        <w:t xml:space="preserve">The information available to us about the Target’s ownership is limited at this stage. If diligence discloses an ownership, control, or affiliate relationship that creates a conflict or a material limitation on our representation, we will notify you promptly and, if required, seek your informed consent or withdraw in accordance with the applicable rules.</w:t>
      </w:r>
    </w:p>
    <w:p>
      <w:pPr>
        <w:pStyle w:val="BodyText"/>
      </w:pPr>
      <w:r>
        <w:rPr>
          <w:b/>
          <w:bCs/>
        </w:rPr>
        <w:t xml:space="preserve">7.4 Advance Waiver.</w:t>
      </w:r>
      <w:r>
        <w:t xml:space="preserve"> </w:t>
      </w:r>
      <w:r>
        <w:t xml:space="preserve">The Firm represents many clients, including companies that may compete with the Company or transact with it. You agree that the Firm may represent other clients in matters that are not substantially related to the Matter and in which the Firm is not adverse to the Company in the Matter, including matters in which those clients’ interests are adverse to the Company’s commercial interests generally, provided that the Firm does not use or disclose the Company’s confidential information in doing so and establishes an ethical screen where appropriate. This waiver does not extend to any litigation or arbitration against the Company, to any transaction in which the Firm would be adverse to the Company as counterparty, or to any matter substantially related to the Matter.</w:t>
      </w:r>
    </w:p>
    <w:p>
      <w:pPr>
        <w:pStyle w:val="BodyText"/>
      </w:pPr>
      <w:r>
        <w:rPr>
          <w:b/>
          <w:bCs/>
        </w:rPr>
        <w:t xml:space="preserve">7.5 Effect of the Waiver.</w:t>
      </w:r>
      <w:r>
        <w:t xml:space="preserve"> </w:t>
      </w:r>
      <w:r>
        <w:t xml:space="preserve">You acknowledge that you have had the opportunity to consult independent counsel about the waiver in Section 7.4, and that the Company’s General Counsel is qualified to evaluate it.</w:t>
      </w:r>
    </w:p>
    <w:bookmarkEnd w:id="15"/>
    <w:bookmarkStart w:id="16" w:name="X9d7cddf6e46795e8eb2d0ca7801606339191a49"/>
    <w:p>
      <w:pPr>
        <w:pStyle w:val="Heading2"/>
      </w:pPr>
      <w:r>
        <w:t xml:space="preserve">8. Confidentiality, Privilege, and Use of Technology</w:t>
      </w:r>
    </w:p>
    <w:p>
      <w:pPr>
        <w:pStyle w:val="FirstParagraph"/>
      </w:pPr>
      <w:r>
        <w:rPr>
          <w:b/>
          <w:bCs/>
        </w:rPr>
        <w:t xml:space="preserve">8.1 Confidentiality.</w:t>
      </w:r>
      <w:r>
        <w:t xml:space="preserve"> </w:t>
      </w:r>
      <w:r>
        <w:t xml:space="preserve">The Firm will keep confidential all information relating to the Matter and to the Company, in accordance with the Delaware Lawyers’ Rules of Professional Conduct, and will not disclose it except as those rules permit, as this letter provides, or as you direct.</w:t>
      </w:r>
    </w:p>
    <w:p>
      <w:pPr>
        <w:pStyle w:val="BodyText"/>
      </w:pPr>
      <w:r>
        <w:rPr>
          <w:b/>
          <w:bCs/>
        </w:rPr>
        <w:t xml:space="preserve">8.2 Privilege.</w:t>
      </w:r>
      <w:r>
        <w:t xml:space="preserve"> </w:t>
      </w:r>
      <w:r>
        <w:t xml:space="preserve">We will structure our communications and work product to preserve the attorney-client privilege and work-product protection. Please limit the distribution of our advice to those within the Company who need it, and consult us before sharing our advice with any third party, including the Target, prospective lenders, or any of your commercial counterparties.</w:t>
      </w:r>
    </w:p>
    <w:p>
      <w:pPr>
        <w:pStyle w:val="BodyText"/>
      </w:pPr>
      <w:r>
        <w:rPr>
          <w:b/>
          <w:bCs/>
        </w:rPr>
        <w:t xml:space="preserve">8.3 Use of Technology and Artificial Intelligence.</w:t>
      </w:r>
      <w:r>
        <w:t xml:space="preserve"> </w:t>
      </w:r>
      <w:r>
        <w:t xml:space="preserve">The Firm uses technology, including artificial intelligence tools, to assist with document review, diligence, drafting, and research. Where the Firm uses those tools on this Matter: (a) the tools are limited to those on the Firm’s approved list, which are subject to contractual terms prohibiting the vendor from using Firm or client data to train models available to any third party; (b) the Firm remains responsible for all work product, and a qualified lawyer reviews and approves any output before it is delivered to you or relied upon; (c) the Firm will not enter Company confidential information into any tool that is not on that approved list; and (d) the Firm does not bill separately for the cost of those tools, and time saved by using them is reflected in the time recorded. The Firm will notify you before using any artificial intelligence tool to review documents produced by the Target that are designated as containing personal data or trade secrets.</w:t>
      </w:r>
    </w:p>
    <w:p>
      <w:pPr>
        <w:pStyle w:val="BodyText"/>
      </w:pPr>
      <w:r>
        <w:rPr>
          <w:b/>
          <w:bCs/>
        </w:rPr>
        <w:t xml:space="preserve">8.4 Firm Use of Matter Information.</w:t>
      </w:r>
      <w:r>
        <w:t xml:space="preserve"> </w:t>
      </w:r>
      <w:r>
        <w:t xml:space="preserve">The Firm may retain and use information about the Matter for conflicts checking, records management, insurance, and internal know-how purposes, subject to its confidentiality obligations. The Firm will not identify the Company or the Target as a client or transaction party in any marketing material, league table, or transaction announcement without your prior written consent.</w:t>
      </w:r>
    </w:p>
    <w:bookmarkEnd w:id="16"/>
    <w:bookmarkStart w:id="17" w:name="company-responsibilities"/>
    <w:p>
      <w:pPr>
        <w:pStyle w:val="Heading2"/>
      </w:pPr>
      <w:r>
        <w:t xml:space="preserve">9. Company Responsibilities</w:t>
      </w:r>
    </w:p>
    <w:p>
      <w:pPr>
        <w:pStyle w:val="FirstParagraph"/>
      </w:pPr>
      <w:r>
        <w:t xml:space="preserve">The Company will: (a) provide the Firm with the information, documents, and access reasonably required to perform the Matter, and promptly correct any information that becomes inaccurate; (b) designate a person authorized to give instructions on the Company’s behalf, who will be the General Counsel unless the Company notifies the Firm otherwise; (c) make timely decisions on matters requiring the Company’s judgment; and (d) pay invoices in accordance with Section 6. Our advice depends on the accuracy and completeness of the information you give us; we will not independently verify it unless you ask us to do so.</w:t>
      </w:r>
    </w:p>
    <w:bookmarkEnd w:id="17"/>
    <w:bookmarkStart w:id="18" w:name="communications"/>
    <w:p>
      <w:pPr>
        <w:pStyle w:val="Heading2"/>
      </w:pPr>
      <w:r>
        <w:t xml:space="preserve">10. Communications</w:t>
      </w:r>
    </w:p>
    <w:p>
      <w:pPr>
        <w:pStyle w:val="FirstParagraph"/>
      </w:pPr>
      <w:r>
        <w:t xml:space="preserve">We will communicate with you by email, telephone, video conference, and, where appropriate, through a secure document exchange. Email is not a secure medium, and unless you instruct us otherwise, we will use ordinary email for routine communications and secure transfer for material containing personal data, source code, or unredacted commercial terms. Please tell us if you would like us to use a particular channel for particular categories of information.</w:t>
      </w:r>
    </w:p>
    <w:bookmarkEnd w:id="18"/>
    <w:bookmarkStart w:id="19" w:name="termination-and-withdrawal"/>
    <w:p>
      <w:pPr>
        <w:pStyle w:val="Heading2"/>
      </w:pPr>
      <w:r>
        <w:t xml:space="preserve">11. Termination and Withdrawal</w:t>
      </w:r>
    </w:p>
    <w:p>
      <w:pPr>
        <w:pStyle w:val="FirstParagraph"/>
      </w:pPr>
      <w:r>
        <w:rPr>
          <w:b/>
          <w:bCs/>
        </w:rPr>
        <w:t xml:space="preserve">11.1 Termination by the Company.</w:t>
      </w:r>
      <w:r>
        <w:t xml:space="preserve"> </w:t>
      </w:r>
      <w:r>
        <w:t xml:space="preserve">You may terminate this engagement at any time, with or without cause, by written notice to the Firm. You remain responsible for fees for services rendered and disbursements incurred through the effective date of termination.</w:t>
      </w:r>
    </w:p>
    <w:p>
      <w:pPr>
        <w:pStyle w:val="BodyText"/>
      </w:pPr>
      <w:r>
        <w:rPr>
          <w:b/>
          <w:bCs/>
        </w:rPr>
        <w:t xml:space="preserve">11.2 Withdrawal by the Firm.</w:t>
      </w:r>
      <w:r>
        <w:t xml:space="preserve"> </w:t>
      </w:r>
      <w:r>
        <w:t xml:space="preserve">The Firm may withdraw from the representation to the extent permitted or required by the Delaware Lawyers’ Rules of Professional Conduct, including where the Company fails to pay undisputed invoices when due, where the Company asks the Firm to take a position the Firm reasonably believes is not supportable, or where continued representation would create a conflict that cannot be resolved. The Firm will give reasonable notice and will take reasonable steps to avoid foreseeable prejudice to your interests, including cooperating in the transfer of the Matter to successor counsel.</w:t>
      </w:r>
    </w:p>
    <w:p>
      <w:pPr>
        <w:pStyle w:val="BodyText"/>
      </w:pPr>
      <w:r>
        <w:rPr>
          <w:b/>
          <w:bCs/>
        </w:rPr>
        <w:t xml:space="preserve">11.3 Conclusion of the Engagement.</w:t>
      </w:r>
      <w:r>
        <w:t xml:space="preserve"> </w:t>
      </w:r>
      <w:r>
        <w:t xml:space="preserve">Unless the Firm and the Company agree otherwise in writing, the engagement concludes on the earlier of (a) the closing of the acquisition and completion of the post-closing filings described in Section 1.2(g), (b) the abandonment of the transaction, and (c) the effective date of a termination under Section 11.1 or a withdrawal under Section 11.2. After the engagement concludes, the Firm has no continuing duty to advise the Company of changes in law or fact affecting the Matter, and no continuing obligation to monitor deadlines, filings, or obligations arising from the Matter.</w:t>
      </w:r>
    </w:p>
    <w:bookmarkEnd w:id="19"/>
    <w:bookmarkStart w:id="20" w:name="file-and-document-retention"/>
    <w:p>
      <w:pPr>
        <w:pStyle w:val="Heading2"/>
      </w:pPr>
      <w:r>
        <w:t xml:space="preserve">12. File and Document Retention</w:t>
      </w:r>
    </w:p>
    <w:p>
      <w:pPr>
        <w:pStyle w:val="FirstParagraph"/>
      </w:pPr>
      <w:r>
        <w:rPr>
          <w:b/>
          <w:bCs/>
        </w:rPr>
        <w:t xml:space="preserve">12.1 The File.</w:t>
      </w:r>
      <w:r>
        <w:t xml:space="preserve"> </w:t>
      </w:r>
      <w:r>
        <w:t xml:space="preserve">The Matter file consists of the documents and communications the Firm creates or receives in the course of the representation, other than the Firm’s internal administrative records, drafts superseded in the ordinary course, conflicts records, and personnel or financial records.</w:t>
      </w:r>
    </w:p>
    <w:p>
      <w:pPr>
        <w:pStyle w:val="BodyText"/>
      </w:pPr>
      <w:r>
        <w:rPr>
          <w:b/>
          <w:bCs/>
        </w:rPr>
        <w:t xml:space="preserve">12.2 Retention Period.</w:t>
      </w:r>
      <w:r>
        <w:t xml:space="preserve"> </w:t>
      </w:r>
      <w:r>
        <w:t xml:space="preserve">The Firm will retain the Matter file for</w:t>
      </w:r>
      <w:r>
        <w:t xml:space="preserve"> </w:t>
      </w:r>
      <w:r>
        <w:rPr>
          <w:b/>
          <w:bCs/>
        </w:rPr>
        <w:t xml:space="preserve">seven (7) years</w:t>
      </w:r>
      <w:r>
        <w:t xml:space="preserve"> </w:t>
      </w:r>
      <w:r>
        <w:t xml:space="preserve">after the engagement concludes as determined under Section 11.3, after which the Firm may destroy it without further notice to the Company.</w:t>
      </w:r>
    </w:p>
    <w:p>
      <w:pPr>
        <w:pStyle w:val="BodyText"/>
      </w:pPr>
      <w:r>
        <w:rPr>
          <w:b/>
          <w:bCs/>
        </w:rPr>
        <w:t xml:space="preserve">12.3 Return of the File.</w:t>
      </w:r>
      <w:r>
        <w:t xml:space="preserve"> </w:t>
      </w:r>
      <w:r>
        <w:t xml:space="preserve">At any time during that seven-year period, the Company may request the file and the Firm will deliver it, in electronic form where available, within thirty (30) days of the request and at no charge for the first delivery. The Firm may retain a copy of the file, subject to its confidentiality obligations.</w:t>
      </w:r>
    </w:p>
    <w:p>
      <w:pPr>
        <w:pStyle w:val="BodyText"/>
      </w:pPr>
      <w:r>
        <w:rPr>
          <w:b/>
          <w:bCs/>
        </w:rPr>
        <w:t xml:space="preserve">12.4 Original Documents.</w:t>
      </w:r>
      <w:r>
        <w:t xml:space="preserve"> </w:t>
      </w:r>
      <w:r>
        <w:t xml:space="preserve">Original executed documents, corporate records, and instruments delivered to the Firm at closing will be returned to the Company within sixty (60) days after the conclusion of the engagement unless the Company instructs otherwise.</w:t>
      </w:r>
    </w:p>
    <w:p>
      <w:pPr>
        <w:pStyle w:val="BodyText"/>
      </w:pPr>
      <w:r>
        <w:rPr>
          <w:b/>
          <w:bCs/>
        </w:rPr>
        <w:t xml:space="preserve">12.5 Legal Hold.</w:t>
      </w:r>
      <w:r>
        <w:t xml:space="preserve"> </w:t>
      </w:r>
      <w:r>
        <w:t xml:space="preserve">If the Firm receives notice of a legal hold, subpoena, or governmental request that covers any part of the Matter file, the retention period in Section 12.2 is suspended as to the material covered until the hold or request is released, and the Firm will notify the Company promptly unless prohibited by law.</w:t>
      </w:r>
    </w:p>
    <w:bookmarkEnd w:id="20"/>
    <w:bookmarkStart w:id="21" w:name="professional-liability-insurance"/>
    <w:p>
      <w:pPr>
        <w:pStyle w:val="Heading2"/>
      </w:pPr>
      <w:r>
        <w:t xml:space="preserve">13. Professional Liability Insurance</w:t>
      </w:r>
    </w:p>
    <w:p>
      <w:pPr>
        <w:pStyle w:val="FirstParagraph"/>
      </w:pPr>
      <w:r>
        <w:t xml:space="preserve">The Firm maintains professional liability insurance in amounts consistent with the standards of the Delaware bar and its practice. The Firm will provide evidence of that coverage on request.</w:t>
      </w:r>
    </w:p>
    <w:bookmarkEnd w:id="21"/>
    <w:bookmarkStart w:id="22" w:name="governing-law-and-fee-disputes"/>
    <w:p>
      <w:pPr>
        <w:pStyle w:val="Heading2"/>
      </w:pPr>
      <w:r>
        <w:t xml:space="preserve">14. Governing Law and Fee Disputes</w:t>
      </w:r>
    </w:p>
    <w:p>
      <w:pPr>
        <w:pStyle w:val="FirstParagraph"/>
      </w:pPr>
      <w:r>
        <w:rPr>
          <w:b/>
          <w:bCs/>
        </w:rPr>
        <w:t xml:space="preserve">14.1 Governing Law.</w:t>
      </w:r>
      <w:r>
        <w:t xml:space="preserve"> </w:t>
      </w:r>
      <w:r>
        <w:t xml:space="preserve">This engagement letter and the relationship between the Firm and the Company are governed by the laws of the State of Delaware, without regard to its conflict-of-laws principles.</w:t>
      </w:r>
    </w:p>
    <w:p>
      <w:pPr>
        <w:pStyle w:val="BodyText"/>
      </w:pPr>
      <w:r>
        <w:rPr>
          <w:b/>
          <w:bCs/>
        </w:rPr>
        <w:t xml:space="preserve">14.2 Fee Disputes.</w:t>
      </w:r>
      <w:r>
        <w:t xml:space="preserve"> </w:t>
      </w:r>
      <w:r>
        <w:t xml:space="preserve">If a dispute concerning fees is not resolved under Section 6.4 within sixty (60) days, either party may submit it to the fee dispute resolution procedure of the applicable bar association before commencing any proceeding. Nothing in this Section 14.2 limits either party’s right to seek relief in a court of competent jurisdiction located in New Castle County, Delaware.</w:t>
      </w:r>
    </w:p>
    <w:bookmarkEnd w:id="22"/>
    <w:bookmarkStart w:id="23" w:name="entire-agreement"/>
    <w:p>
      <w:pPr>
        <w:pStyle w:val="Heading2"/>
      </w:pPr>
      <w:r>
        <w:t xml:space="preserve">15. Entire Agreement</w:t>
      </w:r>
    </w:p>
    <w:p>
      <w:pPr>
        <w:pStyle w:val="FirstParagraph"/>
      </w:pPr>
      <w:r>
        <w:t xml:space="preserve">This letter and Attachment A are the entire agreement between the Firm and the Company concerning the Matter and supersede any prior discussion or proposal. Any amendment must be in writing and signed by both the Firm and the Company. If any provision is held unenforceable, the remainder continues in effect.</w:t>
      </w:r>
    </w:p>
    <w:p>
      <w:pPr>
        <w:pStyle w:val="BodyText"/>
      </w:pPr>
      <w:r>
        <w:t xml:space="preserve">We appreciate the opportunity to work with you on this transaction and look forward to getting started. If anything in this letter is unclear or does not reflect our discussions, please call me.</w:t>
      </w:r>
    </w:p>
    <w:p>
      <w:pPr>
        <w:pStyle w:val="BodyText"/>
      </w:pPr>
      <w:r>
        <w:t xml:space="preserve">Very truly yours,</w:t>
      </w:r>
    </w:p>
    <w:p>
      <w:pPr>
        <w:pStyle w:val="BodyText"/>
      </w:pPr>
      <w:r>
        <w:rPr>
          <w:b/>
          <w:bCs/>
        </w:rPr>
        <w:t xml:space="preserve">ATTICUS DUNDEE LLP</w:t>
      </w:r>
    </w:p>
    <w:p>
      <w:pPr>
        <w:pStyle w:val="BodyText"/>
      </w:pPr>
      <w:r>
        <w:t xml:space="preserve">By: _______________________________</w:t>
      </w:r>
    </w:p>
    <w:p>
      <w:pPr>
        <w:pStyle w:val="BodyText"/>
      </w:pPr>
      <w:r>
        <w:t xml:space="preserve">Jonathan K. Sterling</w:t>
      </w:r>
    </w:p>
    <w:p>
      <w:pPr>
        <w:pStyle w:val="BodyText"/>
      </w:pPr>
      <w:r>
        <w:t xml:space="preserve">Partner</w:t>
      </w:r>
    </w:p>
    <w:bookmarkEnd w:id="23"/>
    <w:bookmarkStart w:id="24" w:name="acknowledgment-and-acceptance"/>
    <w:p>
      <w:pPr>
        <w:pStyle w:val="Heading2"/>
      </w:pPr>
      <w:r>
        <w:t xml:space="preserve">Acknowledgment and Acceptance</w:t>
      </w:r>
    </w:p>
    <w:p>
      <w:pPr>
        <w:pStyle w:val="FirstParagraph"/>
      </w:pPr>
      <w:r>
        <w:t xml:space="preserve">The undersigned, on behalf of Atticus Dundee Inc., has read and understands this engagement letter, including the advance conflicts waiver in Section 7.4, and agrees to its terms.</w:t>
      </w:r>
    </w:p>
    <w:p>
      <w:pPr>
        <w:pStyle w:val="BodyText"/>
      </w:pPr>
      <w:r>
        <w:rPr>
          <w:b/>
          <w:bCs/>
        </w:rPr>
        <w:t xml:space="preserve">ATTICUS DUNDEE INC.</w:t>
      </w:r>
    </w:p>
    <w:p>
      <w:pPr>
        <w:pStyle w:val="BodyText"/>
      </w:pPr>
      <w:r>
        <w:t xml:space="preserve">By: _______________________________</w:t>
      </w:r>
    </w:p>
    <w:p>
      <w:pPr>
        <w:pStyle w:val="BodyText"/>
      </w:pPr>
      <w:r>
        <w:t xml:space="preserve">Name: Priya Raghunathan</w:t>
      </w:r>
    </w:p>
    <w:p>
      <w:pPr>
        <w:pStyle w:val="BodyText"/>
      </w:pPr>
      <w:r>
        <w:t xml:space="preserve">Title: General Counsel and Corporate Secretary</w:t>
      </w:r>
    </w:p>
    <w:p>
      <w:pPr>
        <w:pStyle w:val="BodyText"/>
      </w:pPr>
      <w:r>
        <w:t xml:space="preserve">Date: _______________________________</w:t>
      </w:r>
    </w:p>
    <w:bookmarkEnd w:id="24"/>
    <w:bookmarkStart w:id="31" w:name="attachment-a-billing-guidelines"/>
    <w:p>
      <w:pPr>
        <w:pStyle w:val="Heading2"/>
      </w:pPr>
      <w:r>
        <w:t xml:space="preserve">Attachment A — Billing Guidelines</w:t>
      </w:r>
    </w:p>
    <w:p>
      <w:pPr>
        <w:pStyle w:val="FirstParagraph"/>
      </w:pPr>
      <w:r>
        <w:t xml:space="preserve">These guidelines form part of the engagement letter dated June 2, 2026 between Atticus Dundee LLP and Atticus Dundee Inc. for Matter No. 2026-0417. Where these guidelines conflict with the body of the engagement letter, the body of the engagement letter controls.</w:t>
      </w:r>
    </w:p>
    <w:bookmarkStart w:id="25" w:name="a.1-time-entries"/>
    <w:p>
      <w:pPr>
        <w:pStyle w:val="Heading3"/>
      </w:pPr>
      <w:r>
        <w:t xml:space="preserve">A.1 Time Entries</w:t>
      </w:r>
    </w:p>
    <w:p>
      <w:pPr>
        <w:pStyle w:val="Compact"/>
        <w:numPr>
          <w:ilvl w:val="0"/>
          <w:numId w:val="1002"/>
        </w:numPr>
      </w:pPr>
      <w:r>
        <w:t xml:space="preserve">Time is recorded in increments of one tenth (0.1) of an hour. Minimum entries of more than 0.1 hour are not permitted.</w:t>
      </w:r>
    </w:p>
    <w:p>
      <w:pPr>
        <w:pStyle w:val="Compact"/>
        <w:numPr>
          <w:ilvl w:val="0"/>
          <w:numId w:val="1002"/>
        </w:numPr>
      </w:pPr>
      <w:r>
        <w:t xml:space="preserve">Each entry must identify a single task.</w:t>
      </w:r>
      <w:r>
        <w:t xml:space="preserve"> </w:t>
      </w:r>
      <w:r>
        <w:rPr>
          <w:b/>
          <w:bCs/>
        </w:rPr>
        <w:t xml:space="preserve">Block billing, meaning a single time entry covering multiple discrete tasks, is not permitted</w:t>
      </w:r>
      <w:r>
        <w:t xml:space="preserve">, and the Company may request that any block-billed entry be re-submitted in itemized form before it is paid.</w:t>
      </w:r>
    </w:p>
    <w:p>
      <w:pPr>
        <w:pStyle w:val="Compact"/>
        <w:numPr>
          <w:ilvl w:val="0"/>
          <w:numId w:val="1002"/>
        </w:numPr>
      </w:pPr>
      <w:r>
        <w:t xml:space="preserve">Narratives must describe the work performed with enough specificity for a reviewer to understand what was done and why, without disclosing privileged strategy in an invoice that may be shared with the Company’s finance function. Entries such as</w:t>
      </w:r>
      <w:r>
        <w:t xml:space="preserve"> </w:t>
      </w:r>
      <w:r>
        <w:t xml:space="preserve">“attention to file,”</w:t>
      </w:r>
      <w:r>
        <w:t xml:space="preserve"> </w:t>
      </w:r>
      <w:r>
        <w:t xml:space="preserve">“review documents,”</w:t>
      </w:r>
      <w:r>
        <w:t xml:space="preserve"> </w:t>
      </w:r>
      <w:r>
        <w:t xml:space="preserve">or</w:t>
      </w:r>
      <w:r>
        <w:t xml:space="preserve"> </w:t>
      </w:r>
      <w:r>
        <w:t xml:space="preserve">“conference regarding matter”</w:t>
      </w:r>
      <w:r>
        <w:t xml:space="preserve"> </w:t>
      </w:r>
      <w:r>
        <w:t xml:space="preserve">are not sufficient.</w:t>
      </w:r>
    </w:p>
    <w:p>
      <w:pPr>
        <w:pStyle w:val="Compact"/>
        <w:numPr>
          <w:ilvl w:val="0"/>
          <w:numId w:val="1002"/>
        </w:numPr>
      </w:pPr>
      <w:r>
        <w:t xml:space="preserve">Each entry must include the UTBMS task code and activity code where electronic billing under Section 6.2 of the engagement letter is in use.</w:t>
      </w:r>
    </w:p>
    <w:p>
      <w:pPr>
        <w:pStyle w:val="Compact"/>
        <w:numPr>
          <w:ilvl w:val="0"/>
          <w:numId w:val="1002"/>
        </w:numPr>
      </w:pPr>
      <w:r>
        <w:t xml:space="preserve">Time must be recorded contemporaneously and submitted for billing in the month in which it is incurred. The Company is not obligated to pay time submitted more than ninety (90) days after it was incurred, absent an explanation the Company accepts.</w:t>
      </w:r>
    </w:p>
    <w:bookmarkEnd w:id="25"/>
    <w:bookmarkStart w:id="26" w:name="a.2-staffing-efficiency"/>
    <w:p>
      <w:pPr>
        <w:pStyle w:val="Heading3"/>
      </w:pPr>
      <w:r>
        <w:t xml:space="preserve">A.2 Staffing Efficiency</w:t>
      </w:r>
    </w:p>
    <w:p>
      <w:pPr>
        <w:pStyle w:val="Compact"/>
        <w:numPr>
          <w:ilvl w:val="0"/>
          <w:numId w:val="1003"/>
        </w:numPr>
      </w:pPr>
      <w:r>
        <w:t xml:space="preserve">Work should be performed by the most cost-effective timekeeper qualified to perform it.</w:t>
      </w:r>
    </w:p>
    <w:p>
      <w:pPr>
        <w:pStyle w:val="Compact"/>
        <w:numPr>
          <w:ilvl w:val="0"/>
          <w:numId w:val="1003"/>
        </w:numPr>
      </w:pPr>
      <w:r>
        <w:t xml:space="preserve">Internal conferences among Firm personnel are billable by no more than two (2) timekeepers, and only where the conference is substantive.</w:t>
      </w:r>
    </w:p>
    <w:p>
      <w:pPr>
        <w:pStyle w:val="Compact"/>
        <w:numPr>
          <w:ilvl w:val="0"/>
          <w:numId w:val="1003"/>
        </w:numPr>
      </w:pPr>
      <w:r>
        <w:t xml:space="preserve">Only one (1) timekeeper may bill for attendance at a meeting, hearing, negotiation session, or call with the Company or a third party, unless the Company has approved additional attendance in advance.</w:t>
      </w:r>
    </w:p>
    <w:p>
      <w:pPr>
        <w:pStyle w:val="Compact"/>
        <w:numPr>
          <w:ilvl w:val="0"/>
          <w:numId w:val="1003"/>
        </w:numPr>
      </w:pPr>
      <w:r>
        <w:t xml:space="preserve">Time spent by a new timekeeper to become familiar with the Matter is not billable, except where the addition was requested or approved by the Company.</w:t>
      </w:r>
    </w:p>
    <w:p>
      <w:pPr>
        <w:pStyle w:val="Compact"/>
        <w:numPr>
          <w:ilvl w:val="0"/>
          <w:numId w:val="1003"/>
        </w:numPr>
      </w:pPr>
      <w:r>
        <w:t xml:space="preserve">Time spent preparing, reviewing, or revising invoices, budgets, and staffing plans is not billable, except for the first preparation of the budget required by Section 5.1 of the engagement letter.</w:t>
      </w:r>
    </w:p>
    <w:bookmarkEnd w:id="26"/>
    <w:bookmarkStart w:id="27" w:name="a.3-non-billable-time"/>
    <w:p>
      <w:pPr>
        <w:pStyle w:val="Heading3"/>
      </w:pPr>
      <w:r>
        <w:t xml:space="preserve">A.3 Non-Billable Time</w:t>
      </w:r>
    </w:p>
    <w:p>
      <w:pPr>
        <w:pStyle w:val="FirstParagraph"/>
      </w:pPr>
      <w:r>
        <w:t xml:space="preserve">The following are not billable to the Company: administrative and clerical work, including filing, scanning, indexing, and calendar management; word processing and proofreading; time spent addressing a Firm conflict or personnel issue; time spent responding to the Company’s inquiries about invoices; and time spent on the Firm’s own risk management, insurance, or compliance obligations.</w:t>
      </w:r>
    </w:p>
    <w:bookmarkEnd w:id="27"/>
    <w:bookmarkStart w:id="28" w:name="a.4-travel"/>
    <w:p>
      <w:pPr>
        <w:pStyle w:val="Heading3"/>
      </w:pPr>
      <w:r>
        <w:t xml:space="preserve">A.4 Travel</w:t>
      </w:r>
    </w:p>
    <w:p>
      <w:pPr>
        <w:pStyle w:val="Compact"/>
        <w:numPr>
          <w:ilvl w:val="0"/>
          <w:numId w:val="1004"/>
        </w:numPr>
      </w:pPr>
      <w:r>
        <w:t xml:space="preserve">Travel must be approved in advance in writing.</w:t>
      </w:r>
    </w:p>
    <w:p>
      <w:pPr>
        <w:pStyle w:val="Compact"/>
        <w:numPr>
          <w:ilvl w:val="0"/>
          <w:numId w:val="1004"/>
        </w:numPr>
      </w:pPr>
      <w:r>
        <w:t xml:space="preserve">Travel time is billable at fifty percent (50%) of the applicable hourly rate, except for time spent working productively on the Matter while traveling, which is billable at the full rate and must be recorded as a separate entry describing the work performed.</w:t>
      </w:r>
    </w:p>
    <w:p>
      <w:pPr>
        <w:pStyle w:val="Compact"/>
        <w:numPr>
          <w:ilvl w:val="0"/>
          <w:numId w:val="1004"/>
        </w:numPr>
      </w:pPr>
      <w:r>
        <w:t xml:space="preserve">Air travel is booked in coach class for flights under four (4) hours. Lodging is booked at a moderate business standard.</w:t>
      </w:r>
    </w:p>
    <w:p>
      <w:pPr>
        <w:pStyle w:val="Compact"/>
        <w:numPr>
          <w:ilvl w:val="0"/>
          <w:numId w:val="1004"/>
        </w:numPr>
      </w:pPr>
      <w:r>
        <w:t xml:space="preserve">Meals during travel are reimbursed at actual cost up to seventy-five dollars ($75) per person per day. Alcohol, in-room entertainment, and personal expenses are not reimbursable.</w:t>
      </w:r>
    </w:p>
    <w:bookmarkEnd w:id="28"/>
    <w:bookmarkStart w:id="29" w:name="a.5-disbursements"/>
    <w:p>
      <w:pPr>
        <w:pStyle w:val="Heading3"/>
      </w:pPr>
      <w:r>
        <w:t xml:space="preserve">A.5 Disbursements</w:t>
      </w:r>
    </w:p>
    <w:p>
      <w:pPr>
        <w:pStyle w:val="Compact"/>
        <w:numPr>
          <w:ilvl w:val="0"/>
          <w:numId w:val="1005"/>
        </w:numPr>
      </w:pPr>
      <w:r>
        <w:t xml:space="preserve">Disbursements are charged at actual cost without markup or administrative surcharge.</w:t>
      </w:r>
    </w:p>
    <w:p>
      <w:pPr>
        <w:pStyle w:val="Compact"/>
        <w:numPr>
          <w:ilvl w:val="0"/>
          <w:numId w:val="1005"/>
        </w:numPr>
      </w:pPr>
      <w:r>
        <w:t xml:space="preserve">Photocopying, scanning, printing, local telephone, facsimile, postage, and standard legal research subscriptions are not separately chargeable.</w:t>
      </w:r>
    </w:p>
    <w:p>
      <w:pPr>
        <w:pStyle w:val="Compact"/>
        <w:numPr>
          <w:ilvl w:val="0"/>
          <w:numId w:val="1005"/>
        </w:numPr>
      </w:pPr>
      <w:r>
        <w:t xml:space="preserve">Third-party database searches, corporate record retrievals, and filing fees are chargeable, with supporting documentation attached to the invoice for any item over two hundred fifty dollars ($250).</w:t>
      </w:r>
    </w:p>
    <w:p>
      <w:pPr>
        <w:pStyle w:val="Compact"/>
        <w:numPr>
          <w:ilvl w:val="0"/>
          <w:numId w:val="1005"/>
        </w:numPr>
      </w:pPr>
      <w:r>
        <w:t xml:space="preserve">Overtime, after-hours air conditioning, meals for Firm personnel working late, and local transportation for Firm personnel are not chargeable to the Company.</w:t>
      </w:r>
    </w:p>
    <w:bookmarkEnd w:id="29"/>
    <w:bookmarkStart w:id="30" w:name="a.6-invoice-format-and-review"/>
    <w:p>
      <w:pPr>
        <w:pStyle w:val="Heading3"/>
      </w:pPr>
      <w:r>
        <w:t xml:space="preserve">A.6 Invoice Format and Review</w:t>
      </w:r>
    </w:p>
    <w:p>
      <w:pPr>
        <w:pStyle w:val="Compact"/>
        <w:numPr>
          <w:ilvl w:val="0"/>
          <w:numId w:val="1006"/>
        </w:numPr>
      </w:pPr>
      <w:r>
        <w:t xml:space="preserve">Invoices must show, for each entry: date, timekeeper name and initials, timekeeper level, hours, rate, amount, task code, activity code, and narrative.</w:t>
      </w:r>
    </w:p>
    <w:p>
      <w:pPr>
        <w:pStyle w:val="Compact"/>
        <w:numPr>
          <w:ilvl w:val="0"/>
          <w:numId w:val="1006"/>
        </w:numPr>
      </w:pPr>
      <w:r>
        <w:t xml:space="preserve">Invoices must include a summary by timekeeper and a summary by task code, together with the budget reporting required by Section 5.4 of the engagement letter.</w:t>
      </w:r>
    </w:p>
    <w:p>
      <w:pPr>
        <w:pStyle w:val="Compact"/>
        <w:numPr>
          <w:ilvl w:val="0"/>
          <w:numId w:val="1006"/>
        </w:numPr>
      </w:pPr>
      <w:r>
        <w:t xml:space="preserve">The Company will review each invoice within thirty (30) days of receipt and will raise any objection in accordance with Section 6.4 of the engagement letter.</w:t>
      </w:r>
    </w:p>
    <w:p>
      <w:pPr>
        <w:pStyle w:val="Compact"/>
        <w:numPr>
          <w:ilvl w:val="0"/>
          <w:numId w:val="1006"/>
        </w:numPr>
      </w:pPr>
      <w:r>
        <w:t xml:space="preserve">Fee entries that do not comply with these guidelines may be returned for correction and are not due until a corrected invoice is delivered.</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2026-08-09T02:04:44Z</dcterms:created>
  <dcterms:modified xsi:type="dcterms:W3CDTF">2026-08-09T02:04:44Z</dcterms:modified>
</cp:coreProperties>
</file>

<file path=docProps/custom.xml><?xml version="1.0" encoding="utf-8"?>
<Properties xmlns="http://schemas.openxmlformats.org/officeDocument/2006/custom-properties" xmlns:vt="http://schemas.openxmlformats.org/officeDocument/2006/docPropsVTypes"/>
</file>