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63f7879630eaff7ba4e4e411309f9e9e66e1c3"/>
    <w:p>
      <w:pPr>
        <w:pStyle w:val="Heading1"/>
      </w:pPr>
      <w:r>
        <w:t xml:space="preserve">Matter File and Status Report: Ferris v. Nakashima</w:t>
      </w:r>
    </w:p>
    <w:p>
      <w:pPr>
        <w:pStyle w:val="FirstParagraph"/>
      </w:pPr>
      <w:r>
        <w:rPr>
          <w:b/>
          <w:bCs/>
        </w:rPr>
        <w:t xml:space="preserve">ATTICUS DUNDEE LLP — Litigation Department</w:t>
      </w:r>
    </w:p>
    <w:p>
      <w:pPr>
        <w:pStyle w:val="BodyText"/>
      </w:pPr>
      <w:r>
        <w:t xml:space="preserve">ATTORNEY WORK PRODUCT — PRIVILEGED AND CONFIDENTIAL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Matter number</w:t>
            </w:r>
          </w:p>
        </w:tc>
        <w:tc>
          <w:tcPr/>
          <w:p>
            <w:pPr>
              <w:pStyle w:val="Compact"/>
            </w:pPr>
            <w:r>
              <w:t xml:space="preserve">23-0619</w:t>
            </w:r>
          </w:p>
        </w:tc>
      </w:tr>
      <w:tr>
        <w:tc>
          <w:tcPr/>
          <w:p>
            <w:pPr>
              <w:pStyle w:val="Compact"/>
            </w:pPr>
            <w:r>
              <w:t xml:space="preserve">Matter name</w:t>
            </w:r>
          </w:p>
        </w:tc>
        <w:tc>
          <w:tcPr/>
          <w:p>
            <w:pPr>
              <w:pStyle w:val="Compact"/>
            </w:pPr>
            <w:r>
              <w:t xml:space="preserve">Ferris, Yolanda P. (personal injury)</w:t>
            </w:r>
          </w:p>
        </w:tc>
      </w:tr>
      <w:tr>
        <w:tc>
          <w:tcPr/>
          <w:p>
            <w:pPr>
              <w:pStyle w:val="Compact"/>
            </w:pPr>
            <w:r>
              <w:t xml:space="preserve">Client</w:t>
            </w:r>
          </w:p>
        </w:tc>
        <w:tc>
          <w:tcPr/>
          <w:p>
            <w:pPr>
              <w:pStyle w:val="Compact"/>
            </w:pPr>
            <w:r>
              <w:t xml:space="preserve">Yolanda P. Ferris (individual)</w:t>
            </w:r>
          </w:p>
        </w:tc>
      </w:tr>
      <w:tr>
        <w:tc>
          <w:tcPr/>
          <w:p>
            <w:pPr>
              <w:pStyle w:val="Compact"/>
            </w:pPr>
            <w:r>
              <w:t xml:space="preserve">Adverse party</w:t>
            </w:r>
          </w:p>
        </w:tc>
        <w:tc>
          <w:tcPr/>
          <w:p>
            <w:pPr>
              <w:pStyle w:val="Compact"/>
            </w:pPr>
            <w:r>
              <w:t xml:space="preserve">Curtis A. Nakashima (individual)</w:t>
            </w:r>
          </w:p>
        </w:tc>
      </w:tr>
      <w:tr>
        <w:tc>
          <w:tcPr/>
          <w:p>
            <w:pPr>
              <w:pStyle w:val="Compact"/>
            </w:pPr>
            <w:r>
              <w:t xml:space="preserve">Matter type</w:t>
            </w:r>
          </w:p>
        </w:tc>
        <w:tc>
          <w:tcPr/>
          <w:p>
            <w:pPr>
              <w:pStyle w:val="Compact"/>
            </w:pPr>
            <w:r>
              <w:t xml:space="preserve">Personal injury, motor vehicle</w:t>
            </w:r>
          </w:p>
        </w:tc>
      </w:tr>
      <w:tr>
        <w:tc>
          <w:tcPr/>
          <w:p>
            <w:pPr>
              <w:pStyle w:val="Compact"/>
            </w:pPr>
            <w:r>
              <w:t xml:space="preserve">Governing law</w:t>
            </w:r>
          </w:p>
        </w:tc>
        <w:tc>
          <w:tcPr/>
          <w:p>
            <w:pPr>
              <w:pStyle w:val="Compact"/>
            </w:pPr>
            <w:r>
              <w:t xml:space="preserve">New York</w:t>
            </w:r>
          </w:p>
        </w:tc>
      </w:tr>
      <w:tr>
        <w:tc>
          <w:tcPr/>
          <w:p>
            <w:pPr>
              <w:pStyle w:val="Compact"/>
            </w:pPr>
            <w:r>
              <w:t xml:space="preserve">Anticipated venue</w:t>
            </w:r>
          </w:p>
        </w:tc>
        <w:tc>
          <w:tcPr/>
          <w:p>
            <w:pPr>
              <w:pStyle w:val="Compact"/>
            </w:pPr>
            <w:r>
              <w:t xml:space="preserve">Supreme Court of the State of New York, County of Marbury</w:t>
            </w:r>
          </w:p>
        </w:tc>
      </w:tr>
      <w:tr>
        <w:tc>
          <w:tcPr/>
          <w:p>
            <w:pPr>
              <w:pStyle w:val="Compact"/>
            </w:pPr>
            <w:r>
              <w:t xml:space="preserve">Index number</w:t>
            </w:r>
          </w:p>
        </w:tc>
        <w:tc>
          <w:tcPr/>
          <w:p>
            <w:pPr>
              <w:pStyle w:val="Compact"/>
            </w:pPr>
            <w:r>
              <w:t xml:space="preserve">None. Action not yet commenced.</w:t>
            </w:r>
          </w:p>
        </w:tc>
      </w:tr>
      <w:tr>
        <w:tc>
          <w:tcPr/>
          <w:p>
            <w:pPr>
              <w:pStyle w:val="Compact"/>
            </w:pPr>
            <w:r>
              <w:t xml:space="preserve">Supervising partner</w:t>
            </w:r>
          </w:p>
        </w:tc>
        <w:tc>
          <w:tcPr/>
          <w:p>
            <w:pPr>
              <w:pStyle w:val="Compact"/>
            </w:pPr>
            <w:r>
              <w:t xml:space="preserve">Harold V. Amundsen</w:t>
            </w:r>
          </w:p>
        </w:tc>
      </w:tr>
      <w:tr>
        <w:tc>
          <w:tcPr/>
          <w:p>
            <w:pPr>
              <w:pStyle w:val="Compact"/>
            </w:pPr>
            <w:r>
              <w:t xml:space="preserve">Handling attorney</w:t>
            </w:r>
          </w:p>
        </w:tc>
        <w:tc>
          <w:tcPr/>
          <w:p>
            <w:pPr>
              <w:pStyle w:val="Compact"/>
            </w:pPr>
            <w:r>
              <w:t xml:space="preserve">Delia R. Kwon, Associate</w:t>
            </w:r>
          </w:p>
        </w:tc>
      </w:tr>
      <w:tr>
        <w:tc>
          <w:tcPr/>
          <w:p>
            <w:pPr>
              <w:pStyle w:val="Compact"/>
            </w:pPr>
            <w:r>
              <w:t xml:space="preserve">Docketing specialist</w:t>
            </w:r>
          </w:p>
        </w:tc>
        <w:tc>
          <w:tcPr/>
          <w:p>
            <w:pPr>
              <w:pStyle w:val="Compact"/>
            </w:pPr>
            <w:r>
              <w:t xml:space="preserve">Renata Villalobos</w:t>
            </w:r>
          </w:p>
        </w:tc>
      </w:tr>
      <w:tr>
        <w:tc>
          <w:tcPr/>
          <w:p>
            <w:pPr>
              <w:pStyle w:val="Compact"/>
            </w:pPr>
            <w:r>
              <w:t xml:space="preserve">Date opened</w:t>
            </w:r>
          </w:p>
        </w:tc>
        <w:tc>
          <w:tcPr/>
          <w:p>
            <w:pPr>
              <w:pStyle w:val="Compact"/>
            </w:pPr>
            <w:r>
              <w:t xml:space="preserve">April 24, 2023</w:t>
            </w:r>
          </w:p>
        </w:tc>
      </w:tr>
      <w:tr>
        <w:tc>
          <w:tcPr/>
          <w:p>
            <w:pPr>
              <w:pStyle w:val="Compact"/>
            </w:pPr>
            <w:r>
              <w:t xml:space="preserve">Fee arrangement</w:t>
            </w:r>
          </w:p>
        </w:tc>
        <w:tc>
          <w:tcPr/>
          <w:p>
            <w:pPr>
              <w:pStyle w:val="Compact"/>
            </w:pPr>
            <w:r>
              <w:t xml:space="preserve">Contingent, one third of net recovery after disbursements; written retainer signed April 21, 2023</w:t>
            </w:r>
          </w:p>
        </w:tc>
      </w:tr>
      <w:tr>
        <w:tc>
          <w:tcPr/>
          <w:p>
            <w:pPr>
              <w:pStyle w:val="Compact"/>
            </w:pPr>
            <w:r>
              <w:t xml:space="preserve">Status report date</w:t>
            </w:r>
          </w:p>
        </w:tc>
        <w:tc>
          <w:tcPr/>
          <w:p>
            <w:pPr>
              <w:pStyle w:val="Compact"/>
            </w:pPr>
            <w:r>
              <w:t xml:space="preserve">January 13, 2026</w:t>
            </w:r>
          </w:p>
        </w:tc>
      </w:tr>
      <w:tr>
        <w:tc>
          <w:tcPr/>
          <w:p>
            <w:pPr>
              <w:pStyle w:val="Compact"/>
            </w:pPr>
            <w:r>
              <w:t xml:space="preserve">Matter status</w:t>
            </w:r>
          </w:p>
        </w:tc>
        <w:tc>
          <w:tcPr/>
          <w:p>
            <w:pPr>
              <w:pStyle w:val="Compact"/>
            </w:pPr>
            <w:r>
              <w:t xml:space="preserve">Pre-suit. Negotiation stalled. Suit preparation underway.</w:t>
            </w:r>
          </w:p>
        </w:tc>
      </w:tr>
      <w:tr>
        <w:tc>
          <w:tcPr/>
          <w:p>
            <w:pPr>
              <w:pStyle w:val="Compact"/>
            </w:pPr>
            <w:r>
              <w:rPr>
                <w:b/>
                <w:bCs/>
              </w:rPr>
              <w:t xml:space="preserve">Critical calendar item</w:t>
            </w:r>
          </w:p>
        </w:tc>
        <w:tc>
          <w:tcPr/>
          <w:p>
            <w:pPr>
              <w:pStyle w:val="Compact"/>
            </w:pPr>
            <w:r>
              <w:rPr>
                <w:b/>
                <w:bCs/>
              </w:rPr>
              <w:t xml:space="preserve">Statute of limitations. See Part 6. Two candidate dates are on the calendar and the conflict is unresolved.</w:t>
            </w:r>
          </w:p>
        </w:tc>
      </w:tr>
    </w:tbl>
    <w:p>
      <w:r>
        <w:pict>
          <v:rect style="width:0;height:1.5pt" o:hralign="center" o:hrstd="t" o:hr="t"/>
        </w:pict>
      </w:r>
    </w:p>
    <w:bookmarkStart w:id="9" w:name="origin-of-the-engagement"/>
    <w:p>
      <w:pPr>
        <w:pStyle w:val="Heading2"/>
      </w:pPr>
      <w:r>
        <w:t xml:space="preserve">1. Origin of the Engagement</w:t>
      </w:r>
    </w:p>
    <w:p>
      <w:pPr>
        <w:pStyle w:val="FirstParagraph"/>
      </w:pPr>
      <w:r>
        <w:t xml:space="preserve">The matter was referred to the firm on April 18, 2023 by a long-standing corporate client whose general counsel is a personal acquaintance of the client. The firm’s Management Committee approved acceptance as an accommodation matter on April 18, 2023, on the condition that it be staffed out of the Litigation Department and supervised by a partner with New York tort experience. Mr. Amundsen accepted that supervision. The engagement letter and contingent fee retainer were signed on April 21, 2023 and a statement of client’s rights and responsibilities was delivered with them.</w:t>
      </w:r>
    </w:p>
    <w:bookmarkEnd w:id="9"/>
    <w:bookmarkStart w:id="10" w:name="parties"/>
    <w:p>
      <w:pPr>
        <w:pStyle w:val="Heading2"/>
      </w:pPr>
      <w:r>
        <w:t xml:space="preserve">2. Parties</w:t>
      </w:r>
    </w:p>
    <w:p>
      <w:pPr>
        <w:pStyle w:val="FirstParagraph"/>
      </w:pPr>
      <w:r>
        <w:rPr>
          <w:b/>
          <w:bCs/>
        </w:rPr>
        <w:t xml:space="preserve">Client.</w:t>
      </w:r>
      <w:r>
        <w:t xml:space="preserve"> </w:t>
      </w:r>
      <w:r>
        <w:t xml:space="preserve">Yolanda P. Ferris, age 47 at the time of the incident, resident of Sheffield Falls, New York. Employed as a surgical instrument technician at a regional hospital. Married; two dependent children.</w:t>
      </w:r>
    </w:p>
    <w:p>
      <w:pPr>
        <w:pStyle w:val="BodyText"/>
      </w:pPr>
      <w:r>
        <w:rPr>
          <w:b/>
          <w:bCs/>
        </w:rPr>
        <w:t xml:space="preserve">Adverse party.</w:t>
      </w:r>
      <w:r>
        <w:t xml:space="preserve"> </w:t>
      </w:r>
      <w:r>
        <w:t xml:space="preserve">Curtis A. Nakashima, resident of Cold Harbor, New York. Operator of the striking vehicle. Employed as a route driver for a private delivery contractor.</w:t>
      </w:r>
      <w:r>
        <w:t xml:space="preserve"> </w:t>
      </w:r>
      <w:r>
        <w:rPr>
          <w:b/>
          <w:bCs/>
        </w:rPr>
        <w:t xml:space="preserve">No evidence has been developed that Mr. Nakashima was acting within the scope of employment at the time of the collision.</w:t>
      </w:r>
      <w:r>
        <w:t xml:space="preserve"> </w:t>
      </w:r>
      <w:r>
        <w:t xml:space="preserve">He was operating a personally owned and personally insured vehicle, outside his shift window per the employer’s response to a pre-suit records request dated August 9, 2024. A respondeat superior theory against the employer is therefore not presently supportable and no claim against the employer is pleaded in the draft complaint.</w:t>
      </w:r>
    </w:p>
    <w:p>
      <w:pPr>
        <w:pStyle w:val="BodyText"/>
      </w:pPr>
      <w:r>
        <w:rPr>
          <w:b/>
          <w:bCs/>
        </w:rPr>
        <w:t xml:space="preserve">Non-party carriers.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Carrier</w:t>
            </w:r>
          </w:p>
        </w:tc>
        <w:tc>
          <w:tcPr/>
          <w:p>
            <w:pPr>
              <w:pStyle w:val="Compact"/>
            </w:pPr>
            <w:r>
              <w:t xml:space="preserve">Claim number</w:t>
            </w:r>
          </w:p>
        </w:tc>
        <w:tc>
          <w:tcPr/>
          <w:p>
            <w:pPr>
              <w:pStyle w:val="Compact"/>
            </w:pPr>
            <w:r>
              <w:t xml:space="preserve">Contact</w:t>
            </w:r>
          </w:p>
        </w:tc>
      </w:tr>
      <w:tr>
        <w:tc>
          <w:tcPr/>
          <w:p>
            <w:pPr>
              <w:pStyle w:val="Compact"/>
            </w:pPr>
            <w:r>
              <w:t xml:space="preserve">Defendant’s liability carrier</w:t>
            </w:r>
          </w:p>
        </w:tc>
        <w:tc>
          <w:tcPr/>
          <w:p>
            <w:pPr>
              <w:pStyle w:val="Compact"/>
            </w:pPr>
            <w:r>
              <w:t xml:space="preserve">Cross County Casualty Insurance Company</w:t>
            </w:r>
          </w:p>
        </w:tc>
        <w:tc>
          <w:tcPr/>
          <w:p>
            <w:pPr>
              <w:pStyle w:val="Compact"/>
            </w:pPr>
            <w:r>
              <w:t xml:space="preserve">CCC-2023-118442</w:t>
            </w:r>
          </w:p>
        </w:tc>
        <w:tc>
          <w:tcPr/>
          <w:p>
            <w:pPr>
              <w:pStyle w:val="Compact"/>
            </w:pPr>
            <w:r>
              <w:t xml:space="preserve">Denise Kowalczyk, Senior Claims Representative</w:t>
            </w:r>
          </w:p>
        </w:tc>
      </w:tr>
      <w:tr>
        <w:tc>
          <w:tcPr/>
          <w:p>
            <w:pPr>
              <w:pStyle w:val="Compact"/>
            </w:pPr>
            <w:r>
              <w:t xml:space="preserve">Client’s no-fault and SUM carrier</w:t>
            </w:r>
          </w:p>
        </w:tc>
        <w:tc>
          <w:tcPr/>
          <w:p>
            <w:pPr>
              <w:pStyle w:val="Compact"/>
            </w:pPr>
            <w:r>
              <w:t xml:space="preserve">Kettle Ridge Mutual Insurance Company</w:t>
            </w:r>
          </w:p>
        </w:tc>
        <w:tc>
          <w:tcPr/>
          <w:p>
            <w:pPr>
              <w:pStyle w:val="Compact"/>
            </w:pPr>
            <w:r>
              <w:t xml:space="preserve">KRM-NF-2023-90771</w:t>
            </w:r>
          </w:p>
        </w:tc>
        <w:tc>
          <w:tcPr/>
          <w:p>
            <w:pPr>
              <w:pStyle w:val="Compact"/>
            </w:pPr>
            <w:r>
              <w:t xml:space="preserve">Anselm Pereira, Claims Examiner</w:t>
            </w:r>
          </w:p>
        </w:tc>
      </w:tr>
    </w:tbl>
    <w:bookmarkEnd w:id="10"/>
    <w:bookmarkStart w:id="11" w:name="incident"/>
    <w:p>
      <w:pPr>
        <w:pStyle w:val="Heading2"/>
      </w:pPr>
      <w:r>
        <w:t xml:space="preserve">3. Incident</w:t>
      </w:r>
    </w:p>
    <w:p>
      <w:pPr>
        <w:pStyle w:val="FirstParagraph"/>
      </w:pPr>
      <w:r>
        <w:rPr>
          <w:b/>
          <w:bCs/>
        </w:rPr>
        <w:t xml:space="preserve">Date of incident: Wednesday, March 1, 2023, approximately 7:42 a.m.</w:t>
      </w:r>
    </w:p>
    <w:p>
      <w:pPr>
        <w:pStyle w:val="BodyText"/>
      </w:pPr>
      <w:r>
        <w:t xml:space="preserve">The client was operating a 2016 sedan northbound on Vandermeer Road approaching its intersection with County Route 9G in the Town of Sheffield Falls, Marbury County, New York. The intersection is controlled by a traffic signal. The client entered the intersection on a green signal. Mr. Nakashima, traveling eastbound on County Route 9G, entered the intersection and struck the client’s vehicle in the driver’s side front quarter panel and driver’s door.</w:t>
      </w:r>
    </w:p>
    <w:p>
      <w:pPr>
        <w:pStyle w:val="BodyText"/>
      </w:pPr>
      <w:r>
        <w:t xml:space="preserve">Road conditions were wet. Sunrise on the date of the incident was at 6:29 a.m., so the collision occurred in daylight. The posted limit on County Route 9G at the point of impact is 45 miles per hour.</w:t>
      </w:r>
    </w:p>
    <w:p>
      <w:pPr>
        <w:pStyle w:val="BodyText"/>
      </w:pPr>
      <w:r>
        <w:rPr>
          <w:b/>
          <w:bCs/>
        </w:rPr>
        <w:t xml:space="preserve">Police report.</w:t>
      </w:r>
      <w:r>
        <w:t xml:space="preserve"> </w:t>
      </w:r>
      <w:r>
        <w:t xml:space="preserve">Sheffield Falls Police Department, Report No. SF-23-00817, prepared by Officer M. Trelawney. The report records that Mr. Nakashima stated at the scene that he</w:t>
      </w:r>
      <w:r>
        <w:t xml:space="preserve"> </w:t>
      </w:r>
      <w:r>
        <w:t xml:space="preserve">“thought the light was still yellow.”</w:t>
      </w:r>
      <w:r>
        <w:t xml:space="preserve"> </w:t>
      </w:r>
      <w:r>
        <w:t xml:space="preserve">No summons was issued. The report contains a diagram consistent with the client’s account of the point of impact and the resting positions of the vehicles.</w:t>
      </w:r>
    </w:p>
    <w:p>
      <w:pPr>
        <w:pStyle w:val="BodyText"/>
      </w:pPr>
      <w:r>
        <w:rPr>
          <w:b/>
          <w:bCs/>
        </w:rPr>
        <w:t xml:space="preserve">Independent witness.</w:t>
      </w:r>
      <w:r>
        <w:t xml:space="preserve"> </w:t>
      </w:r>
      <w:r>
        <w:t xml:space="preserve">Bernard Oduya, who was stopped in the southbound lane of Vandermeer Road, provided a recorded statement to the firm on May 30, 2023. Mr. Oduya states that the signal for County Route 9G had been red for</w:t>
      </w:r>
      <w:r>
        <w:t xml:space="preserve"> </w:t>
      </w:r>
      <w:r>
        <w:t xml:space="preserve">“two or three seconds”</w:t>
      </w:r>
      <w:r>
        <w:t xml:space="preserve"> </w:t>
      </w:r>
      <w:r>
        <w:t xml:space="preserve">before the defendant’s vehicle entered the intersection. Mr. Oduya has since relocated to another state. Current address confirmed December 2025; he remains willing to testify.</w:t>
      </w:r>
    </w:p>
    <w:bookmarkEnd w:id="11"/>
    <w:bookmarkStart w:id="16" w:name="injuries-treatment-and-damages"/>
    <w:p>
      <w:pPr>
        <w:pStyle w:val="Heading2"/>
      </w:pPr>
      <w:r>
        <w:t xml:space="preserve">4. Injuries, Treatment, and Damages</w:t>
      </w:r>
    </w:p>
    <w:bookmarkStart w:id="12" w:name="injuries"/>
    <w:p>
      <w:pPr>
        <w:pStyle w:val="Heading3"/>
      </w:pPr>
      <w:r>
        <w:t xml:space="preserve">4.1 Injuries</w:t>
      </w:r>
    </w:p>
    <w:p>
      <w:pPr>
        <w:pStyle w:val="FirstParagraph"/>
      </w:pPr>
      <w:r>
        <w:t xml:space="preserve">Displaced left tibial plateau fracture (Schatzker type II), cervical strain, and a left rotator cuff partial thickness tear. The client was transported by ambulance to the regional trauma center and admitted the same day.</w:t>
      </w:r>
    </w:p>
    <w:bookmarkEnd w:id="12"/>
    <w:bookmarkStart w:id="13" w:name="treatment-chronology"/>
    <w:p>
      <w:pPr>
        <w:pStyle w:val="Heading3"/>
      </w:pPr>
      <w:r>
        <w:t xml:space="preserve">4.2 Treatment chronology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Provider</w:t>
            </w:r>
          </w:p>
        </w:tc>
        <w:tc>
          <w:tcPr/>
          <w:p>
            <w:pPr>
              <w:pStyle w:val="Compact"/>
            </w:pPr>
            <w:r>
              <w:t xml:space="preserve">Event</w:t>
            </w:r>
          </w:p>
        </w:tc>
      </w:tr>
      <w:tr>
        <w:tc>
          <w:tcPr/>
          <w:p>
            <w:pPr>
              <w:pStyle w:val="Compact"/>
            </w:pPr>
            <w:r>
              <w:t xml:space="preserve">2023-03-01</w:t>
            </w:r>
          </w:p>
        </w:tc>
        <w:tc>
          <w:tcPr/>
          <w:p>
            <w:pPr>
              <w:pStyle w:val="Compact"/>
            </w:pPr>
            <w:r>
              <w:t xml:space="preserve">Marbury Regional Medical Center</w:t>
            </w:r>
          </w:p>
        </w:tc>
        <w:tc>
          <w:tcPr/>
          <w:p>
            <w:pPr>
              <w:pStyle w:val="Compact"/>
            </w:pPr>
            <w:r>
              <w:t xml:space="preserve">Emergency admission; CT and radiographs; left knee immobilized</w:t>
            </w:r>
          </w:p>
        </w:tc>
      </w:tr>
      <w:tr>
        <w:tc>
          <w:tcPr/>
          <w:p>
            <w:pPr>
              <w:pStyle w:val="Compact"/>
            </w:pPr>
            <w:r>
              <w:t xml:space="preserve">2023-03-03</w:t>
            </w:r>
          </w:p>
        </w:tc>
        <w:tc>
          <w:tcPr/>
          <w:p>
            <w:pPr>
              <w:pStyle w:val="Compact"/>
            </w:pPr>
            <w:r>
              <w:t xml:space="preserve">Ahmad N. Sethi, M.D., orthopedic surgery</w:t>
            </w:r>
          </w:p>
        </w:tc>
        <w:tc>
          <w:tcPr/>
          <w:p>
            <w:pPr>
              <w:pStyle w:val="Compact"/>
            </w:pPr>
            <w:r>
              <w:t xml:space="preserve">Open reduction and internal fixation, left tibial plateau; lateral locking plate and six screws</w:t>
            </w:r>
          </w:p>
        </w:tc>
      </w:tr>
      <w:tr>
        <w:tc>
          <w:tcPr/>
          <w:p>
            <w:pPr>
              <w:pStyle w:val="Compact"/>
            </w:pPr>
            <w:r>
              <w:t xml:space="preserve">2023-03-07</w:t>
            </w:r>
          </w:p>
        </w:tc>
        <w:tc>
          <w:tcPr/>
          <w:p>
            <w:pPr>
              <w:pStyle w:val="Compact"/>
            </w:pPr>
            <w:r>
              <w:t xml:space="preserve">Marbury Regional Medical Center</w:t>
            </w:r>
          </w:p>
        </w:tc>
        <w:tc>
          <w:tcPr/>
          <w:p>
            <w:pPr>
              <w:pStyle w:val="Compact"/>
            </w:pPr>
            <w:r>
              <w:t xml:space="preserve">Discharge; non-weight-bearing for eight weeks</w:t>
            </w:r>
          </w:p>
        </w:tc>
      </w:tr>
      <w:tr>
        <w:tc>
          <w:tcPr/>
          <w:p>
            <w:pPr>
              <w:pStyle w:val="Compact"/>
            </w:pPr>
            <w:r>
              <w:t xml:space="preserve">2023-05-02 to 2023-11-14</w:t>
            </w:r>
          </w:p>
        </w:tc>
        <w:tc>
          <w:tcPr/>
          <w:p>
            <w:pPr>
              <w:pStyle w:val="Compact"/>
            </w:pPr>
            <w:r>
              <w:t xml:space="preserve">Sheffield Falls Physical Therapy</w:t>
            </w:r>
          </w:p>
        </w:tc>
        <w:tc>
          <w:tcPr/>
          <w:p>
            <w:pPr>
              <w:pStyle w:val="Compact"/>
            </w:pPr>
            <w:r>
              <w:t xml:space="preserve">54 physical therapy sessions</w:t>
            </w:r>
          </w:p>
        </w:tc>
      </w:tr>
      <w:tr>
        <w:tc>
          <w:tcPr/>
          <w:p>
            <w:pPr>
              <w:pStyle w:val="Compact"/>
            </w:pPr>
            <w:r>
              <w:t xml:space="preserve">2023-09-19</w:t>
            </w:r>
          </w:p>
        </w:tc>
        <w:tc>
          <w:tcPr/>
          <w:p>
            <w:pPr>
              <w:pStyle w:val="Compact"/>
            </w:pPr>
            <w:r>
              <w:t xml:space="preserve">Priyanka Raval, M.D., physiatry</w:t>
            </w:r>
          </w:p>
        </w:tc>
        <w:tc>
          <w:tcPr/>
          <w:p>
            <w:pPr>
              <w:pStyle w:val="Compact"/>
            </w:pPr>
            <w:r>
              <w:t xml:space="preserve">Independent evaluation; residual 15 degree extension deficit noted</w:t>
            </w:r>
          </w:p>
        </w:tc>
      </w:tr>
      <w:tr>
        <w:tc>
          <w:tcPr/>
          <w:p>
            <w:pPr>
              <w:pStyle w:val="Compact"/>
            </w:pPr>
            <w:r>
              <w:t xml:space="preserve">2024-02-08</w:t>
            </w:r>
          </w:p>
        </w:tc>
        <w:tc>
          <w:tcPr/>
          <w:p>
            <w:pPr>
              <w:pStyle w:val="Compact"/>
            </w:pPr>
            <w:r>
              <w:t xml:space="preserve">Ahmad N. Sethi, M.D.</w:t>
            </w:r>
          </w:p>
        </w:tc>
        <w:tc>
          <w:tcPr/>
          <w:p>
            <w:pPr>
              <w:pStyle w:val="Compact"/>
            </w:pPr>
            <w:r>
              <w:t xml:space="preserve">Hardware removal, left knee</w:t>
            </w:r>
          </w:p>
        </w:tc>
      </w:tr>
      <w:tr>
        <w:tc>
          <w:tcPr/>
          <w:p>
            <w:pPr>
              <w:pStyle w:val="Compact"/>
            </w:pPr>
            <w:r>
              <w:t xml:space="preserve">2024-06-27</w:t>
            </w:r>
          </w:p>
        </w:tc>
        <w:tc>
          <w:tcPr/>
          <w:p>
            <w:pPr>
              <w:pStyle w:val="Compact"/>
            </w:pPr>
            <w:r>
              <w:t xml:space="preserve">Ahmad N. Sethi, M.D.</w:t>
            </w:r>
          </w:p>
        </w:tc>
        <w:tc>
          <w:tcPr/>
          <w:p>
            <w:pPr>
              <w:pStyle w:val="Compact"/>
            </w:pPr>
            <w:r>
              <w:t xml:space="preserve">Final orthopedic evaluation; permanency opinion issued</w:t>
            </w:r>
          </w:p>
        </w:tc>
      </w:tr>
      <w:tr>
        <w:tc>
          <w:tcPr/>
          <w:p>
            <w:pPr>
              <w:pStyle w:val="Compact"/>
            </w:pPr>
            <w:r>
              <w:t xml:space="preserve">2025-04-16</w:t>
            </w:r>
          </w:p>
        </w:tc>
        <w:tc>
          <w:tcPr/>
          <w:p>
            <w:pPr>
              <w:pStyle w:val="Compact"/>
            </w:pPr>
            <w:r>
              <w:t xml:space="preserve">Ahmad N. Sethi, M.D.</w:t>
            </w:r>
          </w:p>
        </w:tc>
        <w:tc>
          <w:tcPr/>
          <w:p>
            <w:pPr>
              <w:pStyle w:val="Compact"/>
            </w:pPr>
            <w:r>
              <w:t xml:space="preserve">Follow-up; early post-traumatic degenerative change on radiographs</w:t>
            </w:r>
          </w:p>
        </w:tc>
      </w:tr>
    </w:tbl>
    <w:bookmarkEnd w:id="13"/>
    <w:bookmarkStart w:id="14" w:name="serious-injury-threshold"/>
    <w:p>
      <w:pPr>
        <w:pStyle w:val="Heading3"/>
      </w:pPr>
      <w:r>
        <w:t xml:space="preserve">4.3 Serious injury threshold</w:t>
      </w:r>
    </w:p>
    <w:p>
      <w:pPr>
        <w:pStyle w:val="FirstParagraph"/>
      </w:pPr>
      <w:r>
        <w:t xml:space="preserve">New York Insurance Law § 5104(a) bars recovery for non-economic loss in an action arising out of the negligent use of a motor vehicle unless the plaintiff has sustained a serious injury as defined in § 5102(d). The client satisfies the threshold on at least two independent categories.</w:t>
      </w:r>
    </w:p>
    <w:p>
      <w:pPr>
        <w:pStyle w:val="Compact"/>
        <w:numPr>
          <w:ilvl w:val="0"/>
          <w:numId w:val="1001"/>
        </w:numPr>
      </w:pPr>
      <w:r>
        <w:rPr>
          <w:b/>
          <w:bCs/>
        </w:rPr>
        <w:t xml:space="preserve">Fracture.</w:t>
      </w:r>
      <w:r>
        <w:t xml:space="preserve"> </w:t>
      </w:r>
      <w:r>
        <w:t xml:space="preserve">A displaced tibial plateau fracture treated by open reduction and internal fixation is a fracture within the enumerated category. This alone is dispositive and is documented by operative report and radiology.</w:t>
      </w:r>
    </w:p>
    <w:p>
      <w:pPr>
        <w:pStyle w:val="Compact"/>
        <w:numPr>
          <w:ilvl w:val="0"/>
          <w:numId w:val="1001"/>
        </w:numPr>
      </w:pPr>
      <w:r>
        <w:rPr>
          <w:b/>
          <w:bCs/>
        </w:rPr>
        <w:t xml:space="preserve">Permanent consequential limitation of use of a body organ or member.</w:t>
      </w:r>
      <w:r>
        <w:t xml:space="preserve"> </w:t>
      </w:r>
      <w:r>
        <w:t xml:space="preserve">Dr. Sethi’s June 27, 2024 opinion records a permanent 15 degree extension deficit and quantified range of motion loss, which is the form of objective, quantified proof New York courts require.</w:t>
      </w:r>
    </w:p>
    <w:p>
      <w:pPr>
        <w:pStyle w:val="FirstParagraph"/>
      </w:pPr>
      <w:r>
        <w:t xml:space="preserve">The 90/180-day category is also arguably met, but the fracture category makes it unnecessary to rely on it.</w:t>
      </w:r>
    </w:p>
    <w:bookmarkEnd w:id="14"/>
    <w:bookmarkStart w:id="15" w:name="damages-summary-as-of-january-13-2026"/>
    <w:p>
      <w:pPr>
        <w:pStyle w:val="Heading3"/>
      </w:pPr>
      <w:r>
        <w:t xml:space="preserve">4.4 Damages summary as of January 13,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Amount</w:t>
            </w:r>
          </w:p>
        </w:tc>
        <w:tc>
          <w:tcPr/>
          <w:p>
            <w:pPr>
              <w:pStyle w:val="Compact"/>
            </w:pPr>
            <w:r>
              <w:t xml:space="preserve">Basis</w:t>
            </w:r>
          </w:p>
        </w:tc>
      </w:tr>
      <w:tr>
        <w:tc>
          <w:tcPr/>
          <w:p>
            <w:pPr>
              <w:pStyle w:val="Compact"/>
            </w:pPr>
            <w:r>
              <w:t xml:space="preserve">Past medical specials (billed)</w:t>
            </w:r>
          </w:p>
        </w:tc>
        <w:tc>
          <w:tcPr/>
          <w:p>
            <w:pPr>
              <w:pStyle w:val="Compact"/>
            </w:pPr>
            <w:r>
              <w:t xml:space="preserve">$214,880</w:t>
            </w:r>
          </w:p>
        </w:tc>
        <w:tc>
          <w:tcPr/>
          <w:p>
            <w:pPr>
              <w:pStyle w:val="Compact"/>
            </w:pPr>
            <w:r>
              <w:t xml:space="preserve">Provider ledgers, all obtained</w:t>
            </w:r>
          </w:p>
        </w:tc>
      </w:tr>
      <w:tr>
        <w:tc>
          <w:tcPr/>
          <w:p>
            <w:pPr>
              <w:pStyle w:val="Compact"/>
            </w:pPr>
            <w:r>
              <w:t xml:space="preserve">No-fault benefits paid</w:t>
            </w:r>
          </w:p>
        </w:tc>
        <w:tc>
          <w:tcPr/>
          <w:p>
            <w:pPr>
              <w:pStyle w:val="Compact"/>
            </w:pPr>
            <w:r>
              <w:t xml:space="preserve">$50,000</w:t>
            </w:r>
          </w:p>
        </w:tc>
        <w:tc>
          <w:tcPr/>
          <w:p>
            <w:pPr>
              <w:pStyle w:val="Compact"/>
            </w:pPr>
            <w:r>
              <w:t xml:space="preserve">Basic economic loss exhausted; carrier exhaustion letter dated 2023-09-06</w:t>
            </w:r>
          </w:p>
        </w:tc>
      </w:tr>
      <w:tr>
        <w:tc>
          <w:tcPr/>
          <w:p>
            <w:pPr>
              <w:pStyle w:val="Compact"/>
            </w:pPr>
            <w:r>
              <w:t xml:space="preserve">Unreimbursed medical (post-exhaustion)</w:t>
            </w:r>
          </w:p>
        </w:tc>
        <w:tc>
          <w:tcPr/>
          <w:p>
            <w:pPr>
              <w:pStyle w:val="Compact"/>
            </w:pPr>
            <w:r>
              <w:t xml:space="preserve">$46,310</w:t>
            </w:r>
          </w:p>
        </w:tc>
        <w:tc>
          <w:tcPr/>
          <w:p>
            <w:pPr>
              <w:pStyle w:val="Compact"/>
            </w:pPr>
            <w:r>
              <w:t xml:space="preserve">Health plan ledger; lien asserted, see Part 7</w:t>
            </w:r>
          </w:p>
        </w:tc>
      </w:tr>
      <w:tr>
        <w:tc>
          <w:tcPr/>
          <w:p>
            <w:pPr>
              <w:pStyle w:val="Compact"/>
            </w:pPr>
            <w:r>
              <w:t xml:space="preserve">Past lost earnings</w:t>
            </w:r>
          </w:p>
        </w:tc>
        <w:tc>
          <w:tcPr/>
          <w:p>
            <w:pPr>
              <w:pStyle w:val="Compact"/>
            </w:pPr>
            <w:r>
              <w:t xml:space="preserve">$71,420</w:t>
            </w:r>
          </w:p>
        </w:tc>
        <w:tc>
          <w:tcPr/>
          <w:p>
            <w:pPr>
              <w:pStyle w:val="Compact"/>
            </w:pPr>
            <w:r>
              <w:t xml:space="preserve">Payroll records; 31 weeks fully out, 14 weeks partial</w:t>
            </w:r>
          </w:p>
        </w:tc>
      </w:tr>
      <w:tr>
        <w:tc>
          <w:tcPr/>
          <w:p>
            <w:pPr>
              <w:pStyle w:val="Compact"/>
            </w:pPr>
            <w:r>
              <w:t xml:space="preserve">Future lost earning capacity</w:t>
            </w:r>
          </w:p>
        </w:tc>
        <w:tc>
          <w:tcPr/>
          <w:p>
            <w:pPr>
              <w:pStyle w:val="Compact"/>
            </w:pPr>
            <w:r>
              <w:t xml:space="preserve">To be quantified</w:t>
            </w:r>
          </w:p>
        </w:tc>
        <w:tc>
          <w:tcPr/>
          <w:p>
            <w:pPr>
              <w:pStyle w:val="Compact"/>
            </w:pPr>
            <w:r>
              <w:t xml:space="preserve">Vocational expert not yet retained</w:t>
            </w:r>
          </w:p>
        </w:tc>
      </w:tr>
      <w:tr>
        <w:tc>
          <w:tcPr/>
          <w:p>
            <w:pPr>
              <w:pStyle w:val="Compact"/>
            </w:pPr>
            <w:r>
              <w:t xml:space="preserve">Future medical (probable knee arthroplasty)</w:t>
            </w:r>
          </w:p>
        </w:tc>
        <w:tc>
          <w:tcPr/>
          <w:p>
            <w:pPr>
              <w:pStyle w:val="Compact"/>
            </w:pPr>
            <w:r>
              <w:t xml:space="preserve">To be quantified</w:t>
            </w:r>
          </w:p>
        </w:tc>
        <w:tc>
          <w:tcPr/>
          <w:p>
            <w:pPr>
              <w:pStyle w:val="Compact"/>
            </w:pPr>
            <w:r>
              <w:t xml:space="preserve">Dr. Sethi has opined arthroplasty is probable within 10 to 15 years</w:t>
            </w:r>
          </w:p>
        </w:tc>
      </w:tr>
      <w:tr>
        <w:tc>
          <w:tcPr/>
          <w:p>
            <w:pPr>
              <w:pStyle w:val="Compact"/>
            </w:pPr>
            <w:r>
              <w:t xml:space="preserve">Non-economic loss</w:t>
            </w:r>
          </w:p>
        </w:tc>
        <w:tc>
          <w:tcPr/>
          <w:p>
            <w:pPr>
              <w:pStyle w:val="Compact"/>
            </w:pPr>
            <w:r>
              <w:t xml:space="preserve">To be presented at trial</w:t>
            </w:r>
          </w:p>
        </w:tc>
        <w:tc>
          <w:tcPr/>
          <w:p>
            <w:pPr>
              <w:pStyle w:val="Compact"/>
            </w:pPr>
          </w:p>
        </w:tc>
      </w:tr>
    </w:tbl>
    <w:p>
      <w:pPr>
        <w:pStyle w:val="BodyText"/>
      </w:pPr>
      <w:r>
        <w:t xml:space="preserve">Coverage constrains the realistic recovery. The defendant’s liability policy limit is $300,000 per person. The client’s own policy carries supplementary uninsured/underinsured motorist coverage of $250,000 per person. A SUM claim is preserved and Kettle Ridge was placed on notice of the potential SUM claim on July 2, 2024.</w:t>
      </w:r>
      <w:r>
        <w:t xml:space="preserve"> </w:t>
      </w:r>
      <w:r>
        <w:rPr>
          <w:b/>
          <w:bCs/>
        </w:rPr>
        <w:t xml:space="preserve">Any settlement of the liability claim requires Kettle Ridge’s written consent before release, or the SUM claim is forfeited.</w:t>
      </w:r>
      <w:r>
        <w:t xml:space="preserve"> </w:t>
      </w:r>
      <w:r>
        <w:t xml:space="preserve">This is a standing instruction on the file and is repeated in Part 8.</w:t>
      </w:r>
    </w:p>
    <w:bookmarkEnd w:id="15"/>
    <w:bookmarkEnd w:id="16"/>
    <w:bookmarkStart w:id="17" w:name="liability-assessment"/>
    <w:p>
      <w:pPr>
        <w:pStyle w:val="Heading2"/>
      </w:pPr>
      <w:r>
        <w:t xml:space="preserve">5. Liability Assessment</w:t>
      </w:r>
    </w:p>
    <w:p>
      <w:pPr>
        <w:pStyle w:val="FirstParagraph"/>
      </w:pPr>
      <w:r>
        <w:t xml:space="preserve">Liability is strong but not conceded.</w:t>
      </w:r>
    </w:p>
    <w:p>
      <w:pPr>
        <w:pStyle w:val="BodyText"/>
      </w:pPr>
      <w:r>
        <w:rPr>
          <w:b/>
          <w:bCs/>
        </w:rPr>
        <w:t xml:space="preserve">Supporting the client.</w:t>
      </w:r>
      <w:r>
        <w:t xml:space="preserve"> </w:t>
      </w:r>
      <w:r>
        <w:t xml:space="preserve">The independent witness places the defendant’s signal at red for two to three seconds before entry. The defendant’s scene admission (</w:t>
      </w:r>
      <w:r>
        <w:t xml:space="preserve">“thought the light was still yellow”</w:t>
      </w:r>
      <w:r>
        <w:t xml:space="preserve">) is an admission of a party opponent and is recorded in a police report by an officer who can authenticate his own entry. The point of impact and vehicle rest positions in the report diagram are consistent with the client’s account. Vehicle Traffic Law § 1111(d)(1) requires a driver facing a steady red signal to stop.</w:t>
      </w:r>
    </w:p>
    <w:p>
      <w:pPr>
        <w:pStyle w:val="BodyText"/>
      </w:pPr>
      <w:r>
        <w:rPr>
          <w:b/>
          <w:bCs/>
        </w:rPr>
        <w:t xml:space="preserve">Cutting against.</w:t>
      </w:r>
      <w:r>
        <w:t xml:space="preserve"> </w:t>
      </w:r>
      <w:r>
        <w:t xml:space="preserve">No summons was issued, which the carrier has used in negotiation. There is no signal timing data; the firm’s request to the county highway department produced only a maintenance log. There is no independent record of the client’s speed. Wet pavement gives the defense a comparative fault argument on stopping distance and on the client’s own observation of cross traffic, and New York is a pure comparative fault jurisdiction under CPLR 1411, so any percentage found against the client reduces rather than bars recovery.</w:t>
      </w:r>
    </w:p>
    <w:p>
      <w:pPr>
        <w:pStyle w:val="BodyText"/>
      </w:pPr>
      <w:r>
        <w:rPr>
          <w:b/>
          <w:bCs/>
        </w:rPr>
        <w:t xml:space="preserve">Claims not pursued.</w:t>
      </w:r>
      <w:r>
        <w:t xml:space="preserve"> </w:t>
      </w:r>
      <w:r>
        <w:t xml:space="preserve">A highway design or signal maintenance claim against the Town of Sheffield Falls was considered and rejected. Such a claim would have required a notice of claim under General Municipal Law § 50-e within 90 days of accrual, that is, by May 30, 2023, and the firm was not retained until April 21, 2023 with insufficient investigation time to plead a good faith design defect. Leave to file a late notice under § 50-e(5) was evaluated in June 2023 and assessed as unlikely to be granted on these facts. Mr. Amundsen approved the decision not to pursue it on June 9, 2023 and the client was advised in writing the same day.</w:t>
      </w:r>
    </w:p>
    <w:bookmarkEnd w:id="17"/>
    <w:bookmarkStart w:id="21" w:name="statute-of-limitations"/>
    <w:p>
      <w:pPr>
        <w:pStyle w:val="Heading2"/>
      </w:pPr>
      <w:r>
        <w:t xml:space="preserve">6. Statute of Limitations</w:t>
      </w:r>
    </w:p>
    <w:p>
      <w:pPr>
        <w:pStyle w:val="FirstParagraph"/>
      </w:pPr>
      <w:r>
        <w:rPr>
          <w:b/>
          <w:bCs/>
        </w:rPr>
        <w:t xml:space="preserve">This is the controlling deadline on the file and it is not yet resolved.</w:t>
      </w:r>
    </w:p>
    <w:bookmarkStart w:id="18" w:name="governing-rules"/>
    <w:p>
      <w:pPr>
        <w:pStyle w:val="Heading3"/>
      </w:pPr>
      <w:r>
        <w:t xml:space="preserve">6.1 Governing rules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Effect</w:t>
            </w:r>
          </w:p>
        </w:tc>
      </w:tr>
      <w:tr>
        <w:tc>
          <w:tcPr/>
          <w:p>
            <w:pPr>
              <w:pStyle w:val="Compact"/>
            </w:pPr>
            <w:r>
              <w:t xml:space="preserve">CPLR 214(5)</w:t>
            </w:r>
          </w:p>
        </w:tc>
        <w:tc>
          <w:tcPr/>
          <w:p>
            <w:pPr>
              <w:pStyle w:val="Compact"/>
            </w:pPr>
            <w:r>
              <w:t xml:space="preserve">Action to recover damages for a personal injury must be commenced within three years</w:t>
            </w:r>
          </w:p>
        </w:tc>
      </w:tr>
      <w:tr>
        <w:tc>
          <w:tcPr/>
          <w:p>
            <w:pPr>
              <w:pStyle w:val="Compact"/>
            </w:pPr>
            <w:r>
              <w:t xml:space="preserve">CPLR 203(a)</w:t>
            </w:r>
          </w:p>
        </w:tc>
        <w:tc>
          <w:tcPr/>
          <w:p>
            <w:pPr>
              <w:pStyle w:val="Compact"/>
            </w:pPr>
            <w:r>
              <w:t xml:space="preserve">The limitations period runs from the time the cause of action accrued to the time the claim is interposed</w:t>
            </w:r>
          </w:p>
        </w:tc>
      </w:tr>
      <w:tr>
        <w:tc>
          <w:tcPr/>
          <w:p>
            <w:pPr>
              <w:pStyle w:val="Compact"/>
            </w:pPr>
            <w:r>
              <w:t xml:space="preserve">General Construction Law § 20</w:t>
            </w:r>
          </w:p>
        </w:tc>
        <w:tc>
          <w:tcPr/>
          <w:p>
            <w:pPr>
              <w:pStyle w:val="Compact"/>
            </w:pPr>
            <w:r>
              <w:t xml:space="preserve">In computing a period of days, the day from which the reckoning is made is excluded and the last day is included</w:t>
            </w:r>
          </w:p>
        </w:tc>
      </w:tr>
      <w:tr>
        <w:tc>
          <w:tcPr/>
          <w:p>
            <w:pPr>
              <w:pStyle w:val="Compact"/>
            </w:pPr>
            <w:r>
              <w:rPr>
                <w:b/>
                <w:bCs/>
              </w:rPr>
              <w:t xml:space="preserve">General Construction Law § 25-a</w:t>
            </w:r>
          </w:p>
        </w:tc>
        <w:tc>
          <w:tcPr/>
          <w:p>
            <w:pPr>
              <w:pStyle w:val="Compact"/>
            </w:pPr>
            <w:r>
              <w:rPr>
                <w:b/>
                <w:bCs/>
              </w:rPr>
              <w:t xml:space="preserve">Where the period ends on a Saturday, Sunday, or public holiday, the act may be done on the next succeeding business day</w:t>
            </w:r>
          </w:p>
        </w:tc>
      </w:tr>
    </w:tbl>
    <w:p>
      <w:pPr>
        <w:pStyle w:val="BodyText"/>
      </w:pPr>
      <w:r>
        <w:t xml:space="preserve">Accrual is the date of injury, March 1, 2023. There is no continuous treatment doctrine in a negligence action of this kind, no infancy or insanity toll under CPLR 208, and no CPLR 207 absence-from-state toll. The defendant has resided continuously in Marbury County since before the incident, confirmed by skip trace dated November 21, 2025.</w:t>
      </w:r>
    </w:p>
    <w:bookmarkEnd w:id="18"/>
    <w:bookmarkStart w:id="19" w:name="calendar-entries-currently-on-the-file"/>
    <w:p>
      <w:pPr>
        <w:pStyle w:val="Heading3"/>
      </w:pPr>
      <w:r>
        <w:t xml:space="preserve">6.2 Calendar entries currently on the file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Entry</w:t>
            </w:r>
          </w:p>
        </w:tc>
        <w:tc>
          <w:tcPr/>
          <w:p>
            <w:pPr>
              <w:pStyle w:val="Compact"/>
            </w:pPr>
            <w:r>
              <w:t xml:space="preserve">Source</w:t>
            </w:r>
          </w:p>
        </w:tc>
        <w:tc>
          <w:tcPr/>
          <w:p>
            <w:pPr>
              <w:pStyle w:val="Compact"/>
            </w:pPr>
            <w:r>
              <w:t xml:space="preserve">Date on calendar</w:t>
            </w:r>
          </w:p>
        </w:tc>
        <w:tc>
          <w:tcPr/>
          <w:p>
            <w:pPr>
              <w:pStyle w:val="Compact"/>
            </w:pPr>
            <w:r>
              <w:t xml:space="preserve">Status</w:t>
            </w:r>
          </w:p>
        </w:tc>
      </w:tr>
      <w:tr>
        <w:tc>
          <w:tcPr/>
          <w:p>
            <w:pPr>
              <w:pStyle w:val="Compact"/>
            </w:pPr>
            <w:r>
              <w:t xml:space="preserve">SOL-01</w:t>
            </w:r>
          </w:p>
        </w:tc>
        <w:tc>
          <w:tcPr/>
          <w:p>
            <w:pPr>
              <w:pStyle w:val="Compact"/>
            </w:pPr>
            <w:r>
              <w:t xml:space="preserve">Docketing system, auto-calculated under rule set NY-PI-3YR (accrual date plus three years)</w:t>
            </w:r>
          </w:p>
        </w:tc>
        <w:tc>
          <w:tcPr/>
          <w:p>
            <w:pPr>
              <w:pStyle w:val="Compact"/>
            </w:pPr>
            <w:r>
              <w:rPr>
                <w:b/>
                <w:bCs/>
              </w:rPr>
              <w:t xml:space="preserve">Sunday, March 1, 2026</w:t>
            </w:r>
          </w:p>
        </w:tc>
        <w:tc>
          <w:tcPr/>
          <w:p>
            <w:pPr>
              <w:pStyle w:val="Compact"/>
            </w:pPr>
            <w:r>
              <w:t xml:space="preserve">ACTIVE</w:t>
            </w:r>
          </w:p>
        </w:tc>
      </w:tr>
      <w:tr>
        <w:tc>
          <w:tcPr/>
          <w:p>
            <w:pPr>
              <w:pStyle w:val="Compact"/>
            </w:pPr>
            <w:r>
              <w:t xml:space="preserve">SOL-02</w:t>
            </w:r>
          </w:p>
        </w:tc>
        <w:tc>
          <w:tcPr/>
          <w:p>
            <w:pPr>
              <w:pStyle w:val="Compact"/>
            </w:pPr>
            <w:r>
              <w:t xml:space="preserve">Manual entry by R. Villalobos, Docketing Specialist, entered November 24, 2025</w:t>
            </w:r>
          </w:p>
        </w:tc>
        <w:tc>
          <w:tcPr/>
          <w:p>
            <w:pPr>
              <w:pStyle w:val="Compact"/>
            </w:pPr>
            <w:r>
              <w:rPr>
                <w:b/>
                <w:bCs/>
              </w:rPr>
              <w:t xml:space="preserve">Monday, March 2, 2026</w:t>
            </w:r>
          </w:p>
        </w:tc>
        <w:tc>
          <w:tcPr/>
          <w:p>
            <w:pPr>
              <w:pStyle w:val="Compact"/>
            </w:pPr>
            <w:r>
              <w:t xml:space="preserve">PENDING ATTORNEY CONFIRMATION</w:t>
            </w:r>
          </w:p>
        </w:tc>
      </w:tr>
    </w:tbl>
    <w:p>
      <w:pPr>
        <w:pStyle w:val="BodyText"/>
      </w:pPr>
      <w:r>
        <w:rPr>
          <w:b/>
          <w:bCs/>
        </w:rPr>
        <w:t xml:space="preserve">Docketing note attached to SOL-02, entered by R. Villalobos on November 24, 2025:</w:t>
      </w:r>
    </w:p>
    <w:p>
      <w:pPr>
        <w:pStyle w:val="BlockText"/>
      </w:pPr>
      <w:r>
        <w:t xml:space="preserve">Rule set NY-PI-3YR adds three calendar years to the accrual date and does not apply a weekend or holiday adjustment. The date it produced, March 1, 2026, is a Sunday. General Construction Law § 25-a extends a period ending on a Sunday to the next succeeding business day, which would be Monday, March 2, 2026. March 2, 2026 is not a public holiday. I have entered SOL-02 as a second entry rather than overwriting SOL-01 because I am not authorized to move a statute of limitations date. Both entries will remain on the calendar until the supervising attorney confirms which is operative. Escalated to D. Kwon on November 24, 2025 and to H. Amundsen on December 4, 2025.</w:t>
      </w:r>
    </w:p>
    <w:p>
      <w:pPr>
        <w:pStyle w:val="FirstParagraph"/>
      </w:pPr>
      <w:r>
        <w:rPr>
          <w:b/>
          <w:bCs/>
        </w:rPr>
        <w:t xml:space="preserve">Open item OI-1 in Part 9 tracks resolution of this conflict. It has been open since November 24, 2025.</w:t>
      </w:r>
    </w:p>
    <w:bookmarkEnd w:id="19"/>
    <w:bookmarkStart w:id="20" w:name="firm-policy-overlay"/>
    <w:p>
      <w:pPr>
        <w:pStyle w:val="Heading3"/>
      </w:pPr>
      <w:r>
        <w:t xml:space="preserve">6.3 Firm policy overlay</w:t>
      </w:r>
    </w:p>
    <w:p>
      <w:pPr>
        <w:pStyle w:val="FirstParagraph"/>
      </w:pPr>
      <w:r>
        <w:t xml:space="preserve">Independent of which date is operative, Litigation Department Practice Standard 4.2 requires that a complaint in a matter with a hard limitations bar be filed no later than six weeks (42 days) before the earliest arguable limitations date, and that the supervising partner sign off on the filing. Applied to the earlier of the two candidate dates, that internal filing deadline falls on</w:t>
      </w:r>
      <w:r>
        <w:t xml:space="preserve"> </w:t>
      </w:r>
      <w:r>
        <w:rPr>
          <w:b/>
          <w:bCs/>
        </w:rPr>
        <w:t xml:space="preserve">Sunday, January 18, 2026, moved earlier to Friday, January 16, 2026</w:t>
      </w:r>
      <w:r>
        <w:t xml:space="preserve"> </w:t>
      </w:r>
      <w:r>
        <w:t xml:space="preserve">under the same practice standard, which directs that internal deadlines falling on a non-business day move earlier rather than later. Note that the internal rule moves in the opposite direction from General Construction Law § 25-a, and deliberately so: the statute preserves a right, the practice standard preserves margin.</w:t>
      </w:r>
    </w:p>
    <w:p>
      <w:pPr>
        <w:pStyle w:val="BodyText"/>
      </w:pPr>
      <w:r>
        <w:t xml:space="preserve">The client has been advised in writing on two occasions, October 3, 2025 and December 22, 2025, that suit must be commenced in the first quarter of 2026 regardless of the posture of settlement discussions.</w:t>
      </w:r>
    </w:p>
    <w:bookmarkEnd w:id="20"/>
    <w:bookmarkEnd w:id="21"/>
    <w:bookmarkStart w:id="22" w:name="liens-and-third-party-interests"/>
    <w:p>
      <w:pPr>
        <w:pStyle w:val="Heading2"/>
      </w:pPr>
      <w:r>
        <w:t xml:space="preserve">7. Liens and Third-Party Interests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Holder</w:t>
            </w:r>
          </w:p>
        </w:tc>
        <w:tc>
          <w:tcPr/>
          <w:p>
            <w:pPr>
              <w:pStyle w:val="Compact"/>
            </w:pPr>
            <w:r>
              <w:t xml:space="preserve">Type</w:t>
            </w:r>
          </w:p>
        </w:tc>
        <w:tc>
          <w:tcPr/>
          <w:p>
            <w:pPr>
              <w:pStyle w:val="Compact"/>
            </w:pPr>
            <w:r>
              <w:t xml:space="preserve">Asserted amount</w:t>
            </w:r>
          </w:p>
        </w:tc>
        <w:tc>
          <w:tcPr/>
          <w:p>
            <w:pPr>
              <w:pStyle w:val="Compact"/>
            </w:pPr>
            <w:r>
              <w:t xml:space="preserve">Status</w:t>
            </w:r>
          </w:p>
        </w:tc>
      </w:tr>
      <w:tr>
        <w:tc>
          <w:tcPr/>
          <w:p>
            <w:pPr>
              <w:pStyle w:val="Compact"/>
            </w:pPr>
            <w:r>
              <w:t xml:space="preserve">Client’s health plan (ERISA self-funded)</w:t>
            </w:r>
          </w:p>
        </w:tc>
        <w:tc>
          <w:tcPr/>
          <w:p>
            <w:pPr>
              <w:pStyle w:val="Compact"/>
            </w:pPr>
            <w:r>
              <w:t xml:space="preserve">Reimbursement claim under plan terms</w:t>
            </w:r>
          </w:p>
        </w:tc>
        <w:tc>
          <w:tcPr/>
          <w:p>
            <w:pPr>
              <w:pStyle w:val="Compact"/>
            </w:pPr>
            <w:r>
              <w:t xml:space="preserve">$46,310</w:t>
            </w:r>
          </w:p>
        </w:tc>
        <w:tc>
          <w:tcPr/>
          <w:p>
            <w:pPr>
              <w:pStyle w:val="Compact"/>
            </w:pPr>
            <w:r>
              <w:t xml:space="preserve">Asserted 2024-01-30. Plan document requested; reduction negotiation not yet opened.</w:t>
            </w:r>
          </w:p>
        </w:tc>
      </w:tr>
      <w:tr>
        <w:tc>
          <w:tcPr/>
          <w:p>
            <w:pPr>
              <w:pStyle w:val="Compact"/>
            </w:pPr>
            <w:r>
              <w:t xml:space="preserve">Kettle Ridge Mutual Insurance Company</w:t>
            </w:r>
          </w:p>
        </w:tc>
        <w:tc>
          <w:tcPr/>
          <w:p>
            <w:pPr>
              <w:pStyle w:val="Compact"/>
            </w:pPr>
            <w:r>
              <w:t xml:space="preserve">No-fault offset</w:t>
            </w:r>
          </w:p>
        </w:tc>
        <w:tc>
          <w:tcPr/>
          <w:p>
            <w:pPr>
              <w:pStyle w:val="Compact"/>
            </w:pPr>
            <w:r>
              <w:t xml:space="preserve">$50,000</w:t>
            </w:r>
          </w:p>
        </w:tc>
        <w:tc>
          <w:tcPr/>
          <w:p>
            <w:pPr>
              <w:pStyle w:val="Compact"/>
            </w:pPr>
            <w:r>
              <w:t xml:space="preserve">Basic economic loss is not recoverable from the tortfeasor under Insurance Law § 5104(a). Excluded from the demand.</w:t>
            </w:r>
          </w:p>
        </w:tc>
      </w:tr>
      <w:tr>
        <w:tc>
          <w:tcPr/>
          <w:p>
            <w:pPr>
              <w:pStyle w:val="Compact"/>
            </w:pPr>
            <w:r>
              <w:t xml:space="preserve">Marbury Regional Medical Center</w:t>
            </w:r>
          </w:p>
        </w:tc>
        <w:tc>
          <w:tcPr/>
          <w:p>
            <w:pPr>
              <w:pStyle w:val="Compact"/>
            </w:pPr>
            <w:r>
              <w:t xml:space="preserve">Hospital lien</w:t>
            </w:r>
          </w:p>
        </w:tc>
        <w:tc>
          <w:tcPr/>
          <w:p>
            <w:pPr>
              <w:pStyle w:val="Compact"/>
            </w:pPr>
            <w:r>
              <w:t xml:space="preserve">$28,400</w:t>
            </w:r>
          </w:p>
        </w:tc>
        <w:tc>
          <w:tcPr/>
          <w:p>
            <w:pPr>
              <w:pStyle w:val="Compact"/>
            </w:pPr>
            <w:r>
              <w:t xml:space="preserve">Filed 2023-04-05. Included within past medical specials.</w:t>
            </w:r>
          </w:p>
        </w:tc>
      </w:tr>
    </w:tbl>
    <w:p>
      <w:pPr>
        <w:pStyle w:val="BodyText"/>
      </w:pPr>
      <w:r>
        <w:t xml:space="preserve">No Medicare or Medicaid interest. The client is commercially insured through her employer and is not a Medicare beneficiary; confirmation letter on file dated 2024-03-11.</w:t>
      </w:r>
    </w:p>
    <w:bookmarkEnd w:id="22"/>
    <w:bookmarkStart w:id="23" w:name="standing-instructions"/>
    <w:p>
      <w:pPr>
        <w:pStyle w:val="Heading2"/>
      </w:pPr>
      <w:r>
        <w:t xml:space="preserve">8. Standing Instructions</w:t>
      </w:r>
    </w:p>
    <w:p>
      <w:pPr>
        <w:pStyle w:val="Compact"/>
        <w:numPr>
          <w:ilvl w:val="0"/>
          <w:numId w:val="1002"/>
        </w:numPr>
      </w:pPr>
      <w:r>
        <w:rPr>
          <w:b/>
          <w:bCs/>
        </w:rPr>
        <w:t xml:space="preserve">No release of the liability claim without prior written consent from Kettle Ridge Mutual Insurance Company.</w:t>
      </w:r>
      <w:r>
        <w:t xml:space="preserve"> </w:t>
      </w:r>
      <w:r>
        <w:t xml:space="preserve">Settling or releasing the tortfeasor without SUM carrier consent forfeits the SUM claim. This is the single most common way value is destroyed in a matter with this coverage profile.</w:t>
      </w:r>
    </w:p>
    <w:p>
      <w:pPr>
        <w:pStyle w:val="Compact"/>
        <w:numPr>
          <w:ilvl w:val="0"/>
          <w:numId w:val="1002"/>
        </w:numPr>
      </w:pPr>
      <w:r>
        <w:t xml:space="preserve">No settlement authority may be exercised without written client authority for the specific number.</w:t>
      </w:r>
    </w:p>
    <w:p>
      <w:pPr>
        <w:pStyle w:val="Compact"/>
        <w:numPr>
          <w:ilvl w:val="0"/>
          <w:numId w:val="1002"/>
        </w:numPr>
      </w:pPr>
      <w:r>
        <w:t xml:space="preserve">All communications with the client concerning limitations exposure are to be confirmed in writing the same day.</w:t>
      </w:r>
    </w:p>
    <w:p>
      <w:pPr>
        <w:pStyle w:val="Compact"/>
        <w:numPr>
          <w:ilvl w:val="0"/>
          <w:numId w:val="1002"/>
        </w:numPr>
      </w:pPr>
      <w:r>
        <w:t xml:space="preserve">Both SOL calendar entries remain active until Open Item OI-1 is closed. Neither may be deleted.</w:t>
      </w:r>
    </w:p>
    <w:bookmarkEnd w:id="23"/>
    <w:bookmarkStart w:id="24" w:name="open-items"/>
    <w:p>
      <w:pPr>
        <w:pStyle w:val="Heading2"/>
      </w:pPr>
      <w:r>
        <w:t xml:space="preserve">9. Open Items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Item</w:t>
            </w:r>
          </w:p>
        </w:tc>
        <w:tc>
          <w:tcPr/>
          <w:p>
            <w:pPr>
              <w:pStyle w:val="Compact"/>
            </w:pPr>
            <w:r>
              <w:t xml:space="preserve">Owner</w:t>
            </w:r>
          </w:p>
        </w:tc>
        <w:tc>
          <w:tcPr/>
          <w:p>
            <w:pPr>
              <w:pStyle w:val="Compact"/>
            </w:pPr>
            <w:r>
              <w:t xml:space="preserve">Raised</w:t>
            </w:r>
          </w:p>
        </w:tc>
        <w:tc>
          <w:tcPr/>
          <w:p>
            <w:pPr>
              <w:pStyle w:val="Compact"/>
            </w:pPr>
            <w:r>
              <w:t xml:space="preserve">Status</w:t>
            </w:r>
          </w:p>
        </w:tc>
      </w:tr>
      <w:tr>
        <w:tc>
          <w:tcPr/>
          <w:p>
            <w:pPr>
              <w:pStyle w:val="Compact"/>
            </w:pPr>
            <w:r>
              <w:t xml:space="preserve">OI-1</w:t>
            </w:r>
          </w:p>
        </w:tc>
        <w:tc>
          <w:tcPr/>
          <w:p>
            <w:pPr>
              <w:pStyle w:val="Compact"/>
            </w:pPr>
            <w:r>
              <w:rPr>
                <w:b/>
                <w:bCs/>
              </w:rPr>
              <w:t xml:space="preserve">Confirm the operative statute of limitations date and reconcile calendar entries SOL-01 and SOL-02.</w:t>
            </w:r>
            <w:r>
              <w:t xml:space="preserve"> </w:t>
            </w:r>
            <w:r>
              <w:t xml:space="preserve">Determine whether the firm will rely on the General Construction Law § 25-a extension or treat the earlier date as operative. Document the decision in the file.</w:t>
            </w:r>
          </w:p>
        </w:tc>
        <w:tc>
          <w:tcPr/>
          <w:p>
            <w:pPr>
              <w:pStyle w:val="Compact"/>
            </w:pPr>
            <w:r>
              <w:t xml:space="preserve">H. V. Amundsen</w:t>
            </w:r>
          </w:p>
        </w:tc>
        <w:tc>
          <w:tcPr/>
          <w:p>
            <w:pPr>
              <w:pStyle w:val="Compact"/>
            </w:pPr>
            <w:r>
              <w:t xml:space="preserve">2025-11-24</w:t>
            </w:r>
          </w:p>
        </w:tc>
        <w:tc>
          <w:tcPr/>
          <w:p>
            <w:pPr>
              <w:pStyle w:val="Compact"/>
            </w:pPr>
            <w:r>
              <w:rPr>
                <w:b/>
                <w:bCs/>
              </w:rPr>
              <w:t xml:space="preserve">OPEN</w:t>
            </w:r>
          </w:p>
        </w:tc>
      </w:tr>
      <w:tr>
        <w:tc>
          <w:tcPr/>
          <w:p>
            <w:pPr>
              <w:pStyle w:val="Compact"/>
            </w:pPr>
            <w:r>
              <w:t xml:space="preserve">OI-2</w:t>
            </w:r>
          </w:p>
        </w:tc>
        <w:tc>
          <w:tcPr/>
          <w:p>
            <w:pPr>
              <w:pStyle w:val="Compact"/>
            </w:pPr>
            <w:r>
              <w:t xml:space="preserve">File complaint and purchase index number; comply with Practice Standard 4.2 sign-off</w:t>
            </w:r>
          </w:p>
        </w:tc>
        <w:tc>
          <w:tcPr/>
          <w:p>
            <w:pPr>
              <w:pStyle w:val="Compact"/>
            </w:pPr>
            <w:r>
              <w:t xml:space="preserve">D. R. Kwon</w:t>
            </w:r>
          </w:p>
        </w:tc>
        <w:tc>
          <w:tcPr/>
          <w:p>
            <w:pPr>
              <w:pStyle w:val="Compact"/>
            </w:pPr>
            <w:r>
              <w:t xml:space="preserve">2025-12-22</w:t>
            </w:r>
          </w:p>
        </w:tc>
        <w:tc>
          <w:tcPr/>
          <w:p>
            <w:pPr>
              <w:pStyle w:val="Compact"/>
            </w:pPr>
            <w:r>
              <w:t xml:space="preserve">Open, draft complaint circulated 2026-01-09</w:t>
            </w:r>
          </w:p>
        </w:tc>
      </w:tr>
      <w:tr>
        <w:tc>
          <w:tcPr/>
          <w:p>
            <w:pPr>
              <w:pStyle w:val="Compact"/>
            </w:pPr>
            <w:r>
              <w:t xml:space="preserve">OI-3</w:t>
            </w:r>
          </w:p>
        </w:tc>
        <w:tc>
          <w:tcPr/>
          <w:p>
            <w:pPr>
              <w:pStyle w:val="Compact"/>
            </w:pPr>
            <w:r>
              <w:t xml:space="preserve">Retain vocational and economic experts to quantify future lost earning capacity</w:t>
            </w:r>
          </w:p>
        </w:tc>
        <w:tc>
          <w:tcPr/>
          <w:p>
            <w:pPr>
              <w:pStyle w:val="Compact"/>
            </w:pPr>
            <w:r>
              <w:t xml:space="preserve">D. R. Kwon</w:t>
            </w:r>
          </w:p>
        </w:tc>
        <w:tc>
          <w:tcPr/>
          <w:p>
            <w:pPr>
              <w:pStyle w:val="Compact"/>
            </w:pPr>
            <w:r>
              <w:t xml:space="preserve">2025-10-03</w:t>
            </w:r>
          </w:p>
        </w:tc>
        <w:tc>
          <w:tcPr/>
          <w:p>
            <w:pPr>
              <w:pStyle w:val="Compact"/>
            </w:pPr>
            <w:r>
              <w:t xml:space="preserve">Open</w:t>
            </w:r>
          </w:p>
        </w:tc>
      </w:tr>
      <w:tr>
        <w:tc>
          <w:tcPr/>
          <w:p>
            <w:pPr>
              <w:pStyle w:val="Compact"/>
            </w:pPr>
            <w:r>
              <w:t xml:space="preserve">OI-4</w:t>
            </w:r>
          </w:p>
        </w:tc>
        <w:tc>
          <w:tcPr/>
          <w:p>
            <w:pPr>
              <w:pStyle w:val="Compact"/>
            </w:pPr>
            <w:r>
              <w:t xml:space="preserve">Obtain ERISA plan document and open lien reduction negotiation</w:t>
            </w:r>
          </w:p>
        </w:tc>
        <w:tc>
          <w:tcPr/>
          <w:p>
            <w:pPr>
              <w:pStyle w:val="Compact"/>
            </w:pPr>
            <w:r>
              <w:t xml:space="preserve">Paralegal team</w:t>
            </w:r>
          </w:p>
        </w:tc>
        <w:tc>
          <w:tcPr/>
          <w:p>
            <w:pPr>
              <w:pStyle w:val="Compact"/>
            </w:pPr>
            <w:r>
              <w:t xml:space="preserve">2024-02-14</w:t>
            </w:r>
          </w:p>
        </w:tc>
        <w:tc>
          <w:tcPr/>
          <w:p>
            <w:pPr>
              <w:pStyle w:val="Compact"/>
            </w:pPr>
            <w:r>
              <w:t xml:space="preserve">Open</w:t>
            </w:r>
          </w:p>
        </w:tc>
      </w:tr>
      <w:tr>
        <w:tc>
          <w:tcPr/>
          <w:p>
            <w:pPr>
              <w:pStyle w:val="Compact"/>
            </w:pPr>
            <w:r>
              <w:t xml:space="preserve">OI-5</w:t>
            </w:r>
          </w:p>
        </w:tc>
        <w:tc>
          <w:tcPr/>
          <w:p>
            <w:pPr>
              <w:pStyle w:val="Compact"/>
            </w:pPr>
            <w:r>
              <w:t xml:space="preserve">Confirm Mr. Oduya’s availability and consider a deposition to preserve testimony after suit is commenced</w:t>
            </w:r>
          </w:p>
        </w:tc>
        <w:tc>
          <w:tcPr/>
          <w:p>
            <w:pPr>
              <w:pStyle w:val="Compact"/>
            </w:pPr>
            <w:r>
              <w:t xml:space="preserve">D. R. Kwon</w:t>
            </w:r>
          </w:p>
        </w:tc>
        <w:tc>
          <w:tcPr/>
          <w:p>
            <w:pPr>
              <w:pStyle w:val="Compact"/>
            </w:pPr>
            <w:r>
              <w:t xml:space="preserve">2025-12-04</w:t>
            </w:r>
          </w:p>
        </w:tc>
        <w:tc>
          <w:tcPr/>
          <w:p>
            <w:pPr>
              <w:pStyle w:val="Compact"/>
            </w:pPr>
            <w:r>
              <w:t xml:space="preserve">Open</w:t>
            </w:r>
          </w:p>
        </w:tc>
      </w:tr>
      <w:tr>
        <w:tc>
          <w:tcPr/>
          <w:p>
            <w:pPr>
              <w:pStyle w:val="Compact"/>
            </w:pPr>
            <w:r>
              <w:t xml:space="preserve">OI-6</w:t>
            </w:r>
          </w:p>
        </w:tc>
        <w:tc>
          <w:tcPr/>
          <w:p>
            <w:pPr>
              <w:pStyle w:val="Compact"/>
            </w:pPr>
            <w:r>
              <w:t xml:space="preserve">Escalate to the carrier that the current offer does not account for probable future arthroplasty</w:t>
            </w:r>
          </w:p>
        </w:tc>
        <w:tc>
          <w:tcPr/>
          <w:p>
            <w:pPr>
              <w:pStyle w:val="Compact"/>
            </w:pPr>
            <w:r>
              <w:t xml:space="preserve">D. R. Kwon</w:t>
            </w:r>
          </w:p>
        </w:tc>
        <w:tc>
          <w:tcPr/>
          <w:p>
            <w:pPr>
              <w:pStyle w:val="Compact"/>
            </w:pPr>
            <w:r>
              <w:t xml:space="preserve">2025-11-06</w:t>
            </w:r>
          </w:p>
        </w:tc>
        <w:tc>
          <w:tcPr/>
          <w:p>
            <w:pPr>
              <w:pStyle w:val="Compact"/>
            </w:pPr>
            <w:r>
              <w:t xml:space="preserve">Open</w:t>
            </w:r>
          </w:p>
        </w:tc>
      </w:tr>
    </w:tbl>
    <w:bookmarkEnd w:id="24"/>
    <w:bookmarkStart w:id="25" w:name="negotiation-history"/>
    <w:p>
      <w:pPr>
        <w:pStyle w:val="Heading2"/>
      </w:pPr>
      <w:r>
        <w:t xml:space="preserve">10. Negotiation History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Event</w:t>
            </w:r>
          </w:p>
        </w:tc>
      </w:tr>
      <w:tr>
        <w:tc>
          <w:tcPr/>
          <w:p>
            <w:pPr>
              <w:pStyle w:val="Compact"/>
            </w:pPr>
            <w:r>
              <w:t xml:space="preserve">2024-07-15</w:t>
            </w:r>
          </w:p>
        </w:tc>
        <w:tc>
          <w:tcPr/>
          <w:p>
            <w:pPr>
              <w:pStyle w:val="Compact"/>
            </w:pPr>
            <w:r>
              <w:t xml:space="preserve">Demand package served on Cross County Casualty; policy limits demand of $300,000 with supporting records</w:t>
            </w:r>
          </w:p>
        </w:tc>
      </w:tr>
      <w:tr>
        <w:tc>
          <w:tcPr/>
          <w:p>
            <w:pPr>
              <w:pStyle w:val="Compact"/>
            </w:pPr>
            <w:r>
              <w:t xml:space="preserve">2024-09-30</w:t>
            </w:r>
          </w:p>
        </w:tc>
        <w:tc>
          <w:tcPr/>
          <w:p>
            <w:pPr>
              <w:pStyle w:val="Compact"/>
            </w:pPr>
            <w:r>
              <w:t xml:space="preserve">Carrier response: offer of $65,000. Carrier cites absence of a summons and comparative fault on wet pavement.</w:t>
            </w:r>
          </w:p>
        </w:tc>
      </w:tr>
      <w:tr>
        <w:tc>
          <w:tcPr/>
          <w:p>
            <w:pPr>
              <w:pStyle w:val="Compact"/>
            </w:pPr>
            <w:r>
              <w:t xml:space="preserve">2025-02-11</w:t>
            </w:r>
          </w:p>
        </w:tc>
        <w:tc>
          <w:tcPr/>
          <w:p>
            <w:pPr>
              <w:pStyle w:val="Compact"/>
            </w:pPr>
            <w:r>
              <w:t xml:space="preserve">Supplemental submission: Dr. Sethi permanency opinion, hardware removal records, updated wage loss</w:t>
            </w:r>
          </w:p>
        </w:tc>
      </w:tr>
      <w:tr>
        <w:tc>
          <w:tcPr/>
          <w:p>
            <w:pPr>
              <w:pStyle w:val="Compact"/>
            </w:pPr>
            <w:r>
              <w:t xml:space="preserve">2025-05-29</w:t>
            </w:r>
          </w:p>
        </w:tc>
        <w:tc>
          <w:tcPr/>
          <w:p>
            <w:pPr>
              <w:pStyle w:val="Compact"/>
            </w:pPr>
            <w:r>
              <w:t xml:space="preserve">Carrier increases to $118,000</w:t>
            </w:r>
          </w:p>
        </w:tc>
      </w:tr>
      <w:tr>
        <w:tc>
          <w:tcPr/>
          <w:p>
            <w:pPr>
              <w:pStyle w:val="Compact"/>
            </w:pPr>
            <w:r>
              <w:t xml:space="preserve">2025-11-06</w:t>
            </w:r>
          </w:p>
        </w:tc>
        <w:tc>
          <w:tcPr/>
          <w:p>
            <w:pPr>
              <w:pStyle w:val="Compact"/>
            </w:pPr>
            <w:r>
              <w:t xml:space="preserve">Firm demands $300,000 policy limits and puts carrier on notice of bad faith exposure if limits are not tendered in the face of clear liability and threshold injury</w:t>
            </w:r>
          </w:p>
        </w:tc>
      </w:tr>
      <w:tr>
        <w:tc>
          <w:tcPr/>
          <w:p>
            <w:pPr>
              <w:pStyle w:val="Compact"/>
            </w:pPr>
            <w:r>
              <w:t xml:space="preserve">2025-12-19</w:t>
            </w:r>
          </w:p>
        </w:tc>
        <w:tc>
          <w:tcPr/>
          <w:p>
            <w:pPr>
              <w:pStyle w:val="Compact"/>
            </w:pPr>
            <w:r>
              <w:t xml:space="preserve">Carrier increases to $165,000; below the client’s stated authority floor. Client declined.</w:t>
            </w:r>
          </w:p>
        </w:tc>
      </w:tr>
    </w:tbl>
    <w:p>
      <w:pPr>
        <w:pStyle w:val="BodyText"/>
      </w:pPr>
      <w:r>
        <w:t xml:space="preserve">Settlement discussion is stalled at a number the client has rejected. The firm’s assessment is that the carrier is pricing litigation risk on the absence of a summons and will not move materially until suit is commenced and the defendant is deposed.</w:t>
      </w:r>
    </w:p>
    <w:bookmarkEnd w:id="25"/>
    <w:bookmarkStart w:id="26" w:name="file-notes"/>
    <w:p>
      <w:pPr>
        <w:pStyle w:val="Heading2"/>
      </w:pPr>
      <w:r>
        <w:t xml:space="preserve">11. File Notes</w:t>
      </w:r>
    </w:p>
    <w:p>
      <w:pPr>
        <w:pStyle w:val="FirstParagraph"/>
      </w:pPr>
      <w:r>
        <w:rPr>
          <w:b/>
          <w:bCs/>
        </w:rPr>
        <w:t xml:space="preserve">2025-11-24, R. Villalobos.</w:t>
      </w:r>
      <w:r>
        <w:t xml:space="preserve"> </w:t>
      </w:r>
      <w:r>
        <w:t xml:space="preserve">Docketing conflict raised. See Part 6.2.</w:t>
      </w:r>
    </w:p>
    <w:p>
      <w:pPr>
        <w:pStyle w:val="BodyText"/>
      </w:pPr>
      <w:r>
        <w:rPr>
          <w:b/>
          <w:bCs/>
        </w:rPr>
        <w:t xml:space="preserve">2025-12-04, D. R. Kwon.</w:t>
      </w:r>
      <w:r>
        <w:t xml:space="preserve"> </w:t>
      </w:r>
      <w:r>
        <w:t xml:space="preserve">Discussed the docketing conflict with Mr. Amundsen. He asked for a short memorandum on whether General Construction Law § 25-a applies to a limitations period under CPLR 214, as distinct from a procedural time period, and whether the firm should rely on it at all as a matter of risk management. Memorandum not yet delivered.</w:t>
      </w:r>
    </w:p>
    <w:p>
      <w:pPr>
        <w:pStyle w:val="BodyText"/>
      </w:pPr>
      <w:r>
        <w:rPr>
          <w:b/>
          <w:bCs/>
        </w:rPr>
        <w:t xml:space="preserve">2026-01-09, D. R. Kwon.</w:t>
      </w:r>
      <w:r>
        <w:t xml:space="preserve"> </w:t>
      </w:r>
      <w:r>
        <w:t xml:space="preserve">Draft summons and complaint circulated for partner review. Caption prepared for Supreme Court, Marbury County. Venue is proper because both parties reside in the county and the incident occurred there.</w:t>
      </w:r>
    </w:p>
    <w:p>
      <w:pPr>
        <w:pStyle w:val="BodyText"/>
      </w:pPr>
      <w:r>
        <w:rPr>
          <w:b/>
          <w:bCs/>
        </w:rPr>
        <w:t xml:space="preserve">2026-01-13, H. V. Amundsen.</w:t>
      </w:r>
      <w:r>
        <w:t xml:space="preserve"> </w:t>
      </w:r>
      <w:r>
        <w:t xml:space="preserve">Reviewed status. Instruction: proceed to filing on the assumption of the earlier candidate date and do not treat the later date as available. Confirm in writing and close OI-1 once the memorandum is delivered. Filing to be completed this month.</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2026-08-09T02:04:44Z</dcterms:created>
  <dcterms:modified xsi:type="dcterms:W3CDTF">2026-08-09T02:04:44Z</dcterms:modified>
</cp:coreProperties>
</file>

<file path=docProps/custom.xml><?xml version="1.0" encoding="utf-8"?>
<Properties xmlns="http://schemas.openxmlformats.org/officeDocument/2006/custom-properties" xmlns:vt="http://schemas.openxmlformats.org/officeDocument/2006/docPropsVTypes"/>
</file>