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X9191936796b7f1890c99489407a4d5b43969b91"/>
    <w:p>
      <w:pPr>
        <w:pStyle w:val="Heading1"/>
      </w:pPr>
      <w:r>
        <w:t xml:space="preserve">Vendor Risk Assessment: DataPulse Analytics</w:t>
      </w:r>
    </w:p>
    <w:p>
      <w:pPr>
        <w:pStyle w:val="FirstParagraph"/>
      </w:pPr>
      <w:r>
        <w:rPr>
          <w:b/>
          <w:bCs/>
        </w:rPr>
        <w:t xml:space="preserve">ATTICUS DUNDEE INC. — Legal Operations, Vendor Risk Program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Assessment ID</w:t>
            </w:r>
          </w:p>
        </w:tc>
        <w:tc>
          <w:tcPr/>
          <w:p>
            <w:pPr>
              <w:pStyle w:val="Compact"/>
            </w:pPr>
            <w:r>
              <w:t xml:space="preserve">VRA-2026-031</w:t>
            </w:r>
          </w:p>
        </w:tc>
      </w:tr>
      <w:tr>
        <w:tc>
          <w:tcPr/>
          <w:p>
            <w:pPr>
              <w:pStyle w:val="Compact"/>
            </w:pPr>
            <w:r>
              <w:t xml:space="preserve">Vendor</w:t>
            </w:r>
          </w:p>
        </w:tc>
        <w:tc>
          <w:tcPr/>
          <w:p>
            <w:pPr>
              <w:pStyle w:val="Compact"/>
            </w:pPr>
            <w:r>
              <w:t xml:space="preserve">DataPulse Analytics (co-119)</w:t>
            </w:r>
          </w:p>
        </w:tc>
      </w:tr>
      <w:tr>
        <w:tc>
          <w:tcPr/>
          <w:p>
            <w:pPr>
              <w:pStyle w:val="Compact"/>
            </w:pPr>
            <w:r>
              <w:t xml:space="preserve">Vendor contact</w:t>
            </w:r>
          </w:p>
        </w:tc>
        <w:tc>
          <w:tcPr/>
          <w:p>
            <w:pPr>
              <w:pStyle w:val="Compact"/>
            </w:pPr>
            <w:r>
              <w:t xml:space="preserve">Roland Pham, VP Security and Trust</w:t>
            </w:r>
          </w:p>
        </w:tc>
      </w:tr>
      <w:tr>
        <w:tc>
          <w:tcPr/>
          <w:p>
            <w:pPr>
              <w:pStyle w:val="Compact"/>
            </w:pPr>
            <w:r>
              <w:t xml:space="preserve">Service</w:t>
            </w:r>
          </w:p>
        </w:tc>
        <w:tc>
          <w:tcPr/>
          <w:p>
            <w:pPr>
              <w:pStyle w:val="Compact"/>
            </w:pPr>
            <w:r>
              <w:t xml:space="preserve">Product usage benchmarking and market analytics</w:t>
            </w:r>
          </w:p>
        </w:tc>
      </w:tr>
      <w:tr>
        <w:tc>
          <w:tcPr/>
          <w:p>
            <w:pPr>
              <w:pStyle w:val="Compact"/>
            </w:pPr>
            <w:r>
              <w:t xml:space="preserve">Business owner</w:t>
            </w:r>
          </w:p>
        </w:tc>
        <w:tc>
          <w:tcPr/>
          <w:p>
            <w:pPr>
              <w:pStyle w:val="Compact"/>
            </w:pPr>
            <w:r>
              <w:t xml:space="preserve">Theresa J. Muldoon, VP Engineering</w:t>
            </w:r>
          </w:p>
        </w:tc>
      </w:tr>
      <w:tr>
        <w:tc>
          <w:tcPr/>
          <w:p>
            <w:pPr>
              <w:pStyle w:val="Compact"/>
            </w:pPr>
            <w:r>
              <w:t xml:space="preserve">Assessor</w:t>
            </w:r>
          </w:p>
        </w:tc>
        <w:tc>
          <w:tcPr/>
          <w:p>
            <w:pPr>
              <w:pStyle w:val="Compact"/>
            </w:pPr>
            <w:r>
              <w:t xml:space="preserve">Cordelia B. Nwosu, Legal Operations Manager</w:t>
            </w:r>
          </w:p>
        </w:tc>
      </w:tr>
      <w:tr>
        <w:tc>
          <w:tcPr/>
          <w:p>
            <w:pPr>
              <w:pStyle w:val="Compact"/>
            </w:pPr>
            <w:r>
              <w:t xml:space="preserve">Security reviewer</w:t>
            </w:r>
          </w:p>
        </w:tc>
        <w:tc>
          <w:tcPr/>
          <w:p>
            <w:pPr>
              <w:pStyle w:val="Compact"/>
            </w:pPr>
            <w:r>
              <w:t xml:space="preserve">Hannah T. Ostrowski, Chief Information Security Officer</w:t>
            </w:r>
          </w:p>
        </w:tc>
      </w:tr>
      <w:tr>
        <w:tc>
          <w:tcPr/>
          <w:p>
            <w:pPr>
              <w:pStyle w:val="Compact"/>
            </w:pPr>
            <w:r>
              <w:t xml:space="preserve">Privacy reviewer</w:t>
            </w:r>
          </w:p>
        </w:tc>
        <w:tc>
          <w:tcPr/>
          <w:p>
            <w:pPr>
              <w:pStyle w:val="Compact"/>
            </w:pPr>
            <w:r>
              <w:t xml:space="preserve">Yusuf A. Barmani, Data Protection Officer</w:t>
            </w:r>
          </w:p>
        </w:tc>
      </w:tr>
      <w:tr>
        <w:tc>
          <w:tcPr/>
          <w:p>
            <w:pPr>
              <w:pStyle w:val="Compact"/>
            </w:pPr>
            <w:r>
              <w:t xml:space="preserve">Assessment type</w:t>
            </w:r>
          </w:p>
        </w:tc>
        <w:tc>
          <w:tcPr/>
          <w:p>
            <w:pPr>
              <w:pStyle w:val="Compact"/>
            </w:pPr>
            <w:r>
              <w:t xml:space="preserve">Initial</w:t>
            </w:r>
          </w:p>
        </w:tc>
      </w:tr>
      <w:tr>
        <w:tc>
          <w:tcPr/>
          <w:p>
            <w:pPr>
              <w:pStyle w:val="Compact"/>
            </w:pPr>
            <w:r>
              <w:t xml:space="preserve">Initiated</w:t>
            </w:r>
          </w:p>
        </w:tc>
        <w:tc>
          <w:tcPr/>
          <w:p>
            <w:pPr>
              <w:pStyle w:val="Compact"/>
            </w:pPr>
            <w:r>
              <w:t xml:space="preserve">April 7, 2026</w:t>
            </w:r>
          </w:p>
        </w:tc>
      </w:tr>
      <w:tr>
        <w:tc>
          <w:tcPr/>
          <w:p>
            <w:pPr>
              <w:pStyle w:val="Compact"/>
            </w:pPr>
            <w:r>
              <w:t xml:space="preserve">Completed</w:t>
            </w:r>
          </w:p>
        </w:tc>
        <w:tc>
          <w:tcPr/>
          <w:p>
            <w:pPr>
              <w:pStyle w:val="Compact"/>
            </w:pPr>
            <w:r>
              <w:t xml:space="preserve">April 28, 2026</w:t>
            </w:r>
          </w:p>
        </w:tc>
      </w:tr>
      <w:tr>
        <w:tc>
          <w:tcPr/>
          <w:p>
            <w:pPr>
              <w:pStyle w:val="Compact"/>
            </w:pPr>
            <w:r>
              <w:t xml:space="preserve">Annual contract value</w:t>
            </w:r>
          </w:p>
        </w:tc>
        <w:tc>
          <w:tcPr/>
          <w:p>
            <w:pPr>
              <w:pStyle w:val="Compact"/>
            </w:pPr>
            <w:r>
              <w:t xml:space="preserve">$84,000</w:t>
            </w:r>
          </w:p>
        </w:tc>
      </w:tr>
      <w:tr>
        <w:tc>
          <w:tcPr/>
          <w:p>
            <w:pPr>
              <w:pStyle w:val="Compact"/>
            </w:pPr>
            <w:r>
              <w:rPr>
                <w:b/>
                <w:bCs/>
              </w:rPr>
              <w:t xml:space="preserve">Weighted risk score</w:t>
            </w:r>
          </w:p>
        </w:tc>
        <w:tc>
          <w:tcPr/>
          <w:p>
            <w:pPr>
              <w:pStyle w:val="Compact"/>
            </w:pPr>
            <w:r>
              <w:rPr>
                <w:b/>
                <w:bCs/>
              </w:rPr>
              <w:t xml:space="preserve">1.35</w:t>
            </w:r>
          </w:p>
        </w:tc>
      </w:tr>
      <w:tr>
        <w:tc>
          <w:tcPr/>
          <w:p>
            <w:pPr>
              <w:pStyle w:val="Compact"/>
            </w:pPr>
            <w:r>
              <w:rPr>
                <w:b/>
                <w:bCs/>
              </w:rPr>
              <w:t xml:space="preserve">Risk tier</w:t>
            </w:r>
          </w:p>
        </w:tc>
        <w:tc>
          <w:tcPr/>
          <w:p>
            <w:pPr>
              <w:pStyle w:val="Compact"/>
            </w:pPr>
            <w:r>
              <w:rPr>
                <w:b/>
                <w:bCs/>
              </w:rPr>
              <w:t xml:space="preserve">LOW</w:t>
            </w:r>
          </w:p>
        </w:tc>
      </w:tr>
      <w:tr>
        <w:tc>
          <w:tcPr/>
          <w:p>
            <w:pPr>
              <w:pStyle w:val="Compact"/>
            </w:pPr>
            <w:r>
              <w:rPr>
                <w:b/>
                <w:bCs/>
              </w:rPr>
              <w:t xml:space="preserve">Disposition</w:t>
            </w:r>
          </w:p>
        </w:tc>
        <w:tc>
          <w:tcPr/>
          <w:p>
            <w:pPr>
              <w:pStyle w:val="Compact"/>
            </w:pPr>
            <w:r>
              <w:rPr>
                <w:b/>
                <w:bCs/>
              </w:rPr>
              <w:t xml:space="preserve">APPROVED</w:t>
            </w:r>
          </w:p>
        </w:tc>
      </w:tr>
      <w:tr>
        <w:tc>
          <w:tcPr/>
          <w:p>
            <w:pPr>
              <w:pStyle w:val="Compact"/>
            </w:pPr>
            <w:r>
              <w:t xml:space="preserve">Approved by</w:t>
            </w:r>
          </w:p>
        </w:tc>
        <w:tc>
          <w:tcPr/>
          <w:p>
            <w:pPr>
              <w:pStyle w:val="Compact"/>
            </w:pPr>
            <w:r>
              <w:t xml:space="preserve">Vendor Risk Council, April 30, 2026</w:t>
            </w:r>
          </w:p>
        </w:tc>
      </w:tr>
      <w:tr>
        <w:tc>
          <w:tcPr/>
          <w:p>
            <w:pPr>
              <w:pStyle w:val="Compact"/>
            </w:pPr>
            <w:r>
              <w:t xml:space="preserve">Next reassessment</w:t>
            </w:r>
          </w:p>
        </w:tc>
        <w:tc>
          <w:tcPr/>
          <w:p>
            <w:pPr>
              <w:pStyle w:val="Compact"/>
            </w:pPr>
            <w:r>
              <w:t xml:space="preserve">April 30, 2028 (24-month cadence for LOW)</w:t>
            </w:r>
          </w:p>
        </w:tc>
      </w:tr>
      <w:tr>
        <w:tc>
          <w:tcPr/>
          <w:p>
            <w:pPr>
              <w:pStyle w:val="Compact"/>
            </w:pPr>
            <w:r>
              <w:t xml:space="preserve">Classification</w:t>
            </w:r>
          </w:p>
        </w:tc>
        <w:tc>
          <w:tcPr/>
          <w:p>
            <w:pPr>
              <w:pStyle w:val="Compact"/>
            </w:pPr>
            <w:r>
              <w:t xml:space="preserve">Internal</w:t>
            </w:r>
          </w:p>
        </w:tc>
      </w:tr>
    </w:tbl>
    <w:p>
      <w:r>
        <w:pict>
          <v:rect style="width:0;height:1.5pt" o:hralign="center" o:hrstd="t" o:hr="t"/>
        </w:pict>
      </w:r>
    </w:p>
    <w:bookmarkStart w:id="10" w:name="scope-of-the-engagement"/>
    <w:p>
      <w:pPr>
        <w:pStyle w:val="Heading2"/>
      </w:pPr>
      <w:r>
        <w:t xml:space="preserve">1. Scope of the Engagement</w:t>
      </w:r>
    </w:p>
    <w:p>
      <w:pPr>
        <w:pStyle w:val="FirstParagraph"/>
      </w:pPr>
      <w:r>
        <w:t xml:space="preserve">DataPulse Analytics receives aggregated product telemetry from the SignalPost platform and returns benchmark reports comparing the company’s operational metrics against an anonymized industry cohort. The data flow is one-way outbound with a reporting return. DataPulse has no access to the company’s production environment, no access to customer data, and no administrative credentials of any kind.</w:t>
      </w:r>
    </w:p>
    <w:bookmarkStart w:id="9" w:name="data-in-scope"/>
    <w:p>
      <w:pPr>
        <w:pStyle w:val="Heading3"/>
      </w:pPr>
      <w:r>
        <w:t xml:space="preserve">1.1 Data in scope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Data category</w:t>
            </w:r>
          </w:p>
        </w:tc>
        <w:tc>
          <w:tcPr/>
          <w:p>
            <w:pPr>
              <w:pStyle w:val="Compact"/>
            </w:pPr>
            <w:r>
              <w:t xml:space="preserve">In scope</w:t>
            </w:r>
          </w:p>
        </w:tc>
        <w:tc>
          <w:tcPr/>
          <w:p>
            <w:pPr>
              <w:pStyle w:val="Compact"/>
            </w:pPr>
            <w:r>
              <w:t xml:space="preserve">Notes</w:t>
            </w:r>
          </w:p>
        </w:tc>
      </w:tr>
      <w:tr>
        <w:tc>
          <w:tcPr/>
          <w:p>
            <w:pPr>
              <w:pStyle w:val="Compact"/>
            </w:pPr>
            <w:r>
              <w:t xml:space="preserve">Aggregated product telemetry</w:t>
            </w:r>
          </w:p>
        </w:tc>
        <w:tc>
          <w:tcPr/>
          <w:p>
            <w:pPr>
              <w:pStyle w:val="Compact"/>
            </w:pPr>
            <w:r>
              <w:t xml:space="preserve">Yes</w:t>
            </w:r>
          </w:p>
        </w:tc>
        <w:tc>
          <w:tcPr/>
          <w:p>
            <w:pPr>
              <w:pStyle w:val="Compact"/>
            </w:pPr>
            <w:r>
              <w:t xml:space="preserve">Event counts, latency percentiles, error rates, feature adoption rates, aggregated at the tenant level with tenant identifiers replaced by rotating pseudonyms</w:t>
            </w:r>
          </w:p>
        </w:tc>
      </w:tr>
      <w:tr>
        <w:tc>
          <w:tcPr/>
          <w:p>
            <w:pPr>
              <w:pStyle w:val="Compact"/>
            </w:pPr>
            <w:r>
              <w:t xml:space="preserve">Personal data</w:t>
            </w:r>
          </w:p>
        </w:tc>
        <w:tc>
          <w:tcPr/>
          <w:p>
            <w:pPr>
              <w:pStyle w:val="Compact"/>
            </w:pPr>
            <w:r>
              <w:t xml:space="preserve">No</w:t>
            </w:r>
          </w:p>
        </w:tc>
        <w:tc>
          <w:tcPr/>
          <w:p>
            <w:pPr>
              <w:pStyle w:val="Compact"/>
            </w:pPr>
            <w:r>
              <w:t xml:space="preserve">Confirmed by the Data Protection Officer against a field-level data map dated April 14, 2026</w:t>
            </w:r>
          </w:p>
        </w:tc>
      </w:tr>
      <w:tr>
        <w:tc>
          <w:tcPr/>
          <w:p>
            <w:pPr>
              <w:pStyle w:val="Compact"/>
            </w:pPr>
            <w:r>
              <w:t xml:space="preserve">Special category personal data</w:t>
            </w:r>
          </w:p>
        </w:tc>
        <w:tc>
          <w:tcPr/>
          <w:p>
            <w:pPr>
              <w:pStyle w:val="Compact"/>
            </w:pPr>
            <w:r>
              <w:t xml:space="preserve">No</w:t>
            </w:r>
          </w:p>
        </w:tc>
        <w:tc>
          <w:tcPr/>
          <w:p>
            <w:pPr>
              <w:pStyle w:val="Compact"/>
            </w:pPr>
          </w:p>
        </w:tc>
      </w:tr>
      <w:tr>
        <w:tc>
          <w:tcPr/>
          <w:p>
            <w:pPr>
              <w:pStyle w:val="Compact"/>
            </w:pPr>
            <w:r>
              <w:t xml:space="preserve">Customer content</w:t>
            </w:r>
          </w:p>
        </w:tc>
        <w:tc>
          <w:tcPr/>
          <w:p>
            <w:pPr>
              <w:pStyle w:val="Compact"/>
            </w:pPr>
            <w:r>
              <w:t xml:space="preserve">No</w:t>
            </w:r>
          </w:p>
        </w:tc>
        <w:tc>
          <w:tcPr/>
          <w:p>
            <w:pPr>
              <w:pStyle w:val="Compact"/>
            </w:pPr>
          </w:p>
        </w:tc>
      </w:tr>
      <w:tr>
        <w:tc>
          <w:tcPr/>
          <w:p>
            <w:pPr>
              <w:pStyle w:val="Compact"/>
            </w:pPr>
            <w:r>
              <w:t xml:space="preserve">Privileged material or attorney work product</w:t>
            </w:r>
          </w:p>
        </w:tc>
        <w:tc>
          <w:tcPr/>
          <w:p>
            <w:pPr>
              <w:pStyle w:val="Compact"/>
            </w:pPr>
            <w:r>
              <w:t xml:space="preserve">No</w:t>
            </w:r>
          </w:p>
        </w:tc>
        <w:tc>
          <w:tcPr/>
          <w:p>
            <w:pPr>
              <w:pStyle w:val="Compact"/>
            </w:pPr>
          </w:p>
        </w:tc>
      </w:tr>
      <w:tr>
        <w:tc>
          <w:tcPr/>
          <w:p>
            <w:pPr>
              <w:pStyle w:val="Compact"/>
            </w:pPr>
            <w:r>
              <w:t xml:space="preserve">Financial or payment data</w:t>
            </w:r>
          </w:p>
        </w:tc>
        <w:tc>
          <w:tcPr/>
          <w:p>
            <w:pPr>
              <w:pStyle w:val="Compact"/>
            </w:pPr>
            <w:r>
              <w:t xml:space="preserve">No</w:t>
            </w:r>
          </w:p>
        </w:tc>
        <w:tc>
          <w:tcPr/>
          <w:p>
            <w:pPr>
              <w:pStyle w:val="Compact"/>
            </w:pPr>
          </w:p>
        </w:tc>
      </w:tr>
      <w:tr>
        <w:tc>
          <w:tcPr/>
          <w:p>
            <w:pPr>
              <w:pStyle w:val="Compact"/>
            </w:pPr>
            <w:r>
              <w:t xml:space="preserve">Source code</w:t>
            </w:r>
          </w:p>
        </w:tc>
        <w:tc>
          <w:tcPr/>
          <w:p>
            <w:pPr>
              <w:pStyle w:val="Compact"/>
            </w:pPr>
            <w:r>
              <w:t xml:space="preserve">No</w:t>
            </w:r>
          </w:p>
        </w:tc>
        <w:tc>
          <w:tcPr/>
          <w:p>
            <w:pPr>
              <w:pStyle w:val="Compact"/>
            </w:pPr>
          </w:p>
        </w:tc>
      </w:tr>
    </w:tbl>
    <w:p>
      <w:pPr>
        <w:pStyle w:val="BodyText"/>
      </w:pPr>
      <w:r>
        <w:t xml:space="preserve">The pseudonym rotation schedule was reviewed. Tenant pseudonyms rotate quarterly and the mapping is held only in the company’s environment. DataPulse cannot re-identify a tenant across quarters.</w:t>
      </w:r>
    </w:p>
    <w:bookmarkEnd w:id="9"/>
    <w:bookmarkEnd w:id="10"/>
    <w:bookmarkStart w:id="11" w:name="scoring-method"/>
    <w:p>
      <w:pPr>
        <w:pStyle w:val="Heading2"/>
      </w:pPr>
      <w:r>
        <w:t xml:space="preserve">2. Scoring Method</w:t>
      </w:r>
    </w:p>
    <w:p>
      <w:pPr>
        <w:pStyle w:val="FirstParagraph"/>
      </w:pPr>
      <w:r>
        <w:t xml:space="preserve">Six domains scored 1 to 5, where 1 is the lowest risk and 5 is the highest, weighted to a composite between 1.00 and 5.00.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Tier</w:t>
            </w:r>
          </w:p>
        </w:tc>
        <w:tc>
          <w:tcPr/>
          <w:p>
            <w:pPr>
              <w:pStyle w:val="Compact"/>
            </w:pPr>
            <w:r>
              <w:t xml:space="preserve">Band</w:t>
            </w:r>
          </w:p>
        </w:tc>
      </w:tr>
      <w:tr>
        <w:tc>
          <w:tcPr/>
          <w:p>
            <w:pPr>
              <w:pStyle w:val="Compact"/>
            </w:pPr>
            <w:r>
              <w:t xml:space="preserve">LOW</w:t>
            </w:r>
          </w:p>
        </w:tc>
        <w:tc>
          <w:tcPr/>
          <w:p>
            <w:pPr>
              <w:pStyle w:val="Compact"/>
            </w:pPr>
            <w:r>
              <w:t xml:space="preserve">1.00 to 1.79</w:t>
            </w:r>
          </w:p>
        </w:tc>
      </w:tr>
      <w:tr>
        <w:tc>
          <w:tcPr/>
          <w:p>
            <w:pPr>
              <w:pStyle w:val="Compact"/>
            </w:pPr>
            <w:r>
              <w:t xml:space="preserve">MODERATE</w:t>
            </w:r>
          </w:p>
        </w:tc>
        <w:tc>
          <w:tcPr/>
          <w:p>
            <w:pPr>
              <w:pStyle w:val="Compact"/>
            </w:pPr>
            <w:r>
              <w:t xml:space="preserve">1.80 to 2.59</w:t>
            </w:r>
          </w:p>
        </w:tc>
      </w:tr>
      <w:tr>
        <w:tc>
          <w:tcPr/>
          <w:p>
            <w:pPr>
              <w:pStyle w:val="Compact"/>
            </w:pPr>
            <w:r>
              <w:t xml:space="preserve">ELEVATED</w:t>
            </w:r>
          </w:p>
        </w:tc>
        <w:tc>
          <w:tcPr/>
          <w:p>
            <w:pPr>
              <w:pStyle w:val="Compact"/>
            </w:pPr>
            <w:r>
              <w:t xml:space="preserve">2.60 to 3.39</w:t>
            </w:r>
          </w:p>
        </w:tc>
      </w:tr>
      <w:tr>
        <w:tc>
          <w:tcPr/>
          <w:p>
            <w:pPr>
              <w:pStyle w:val="Compact"/>
            </w:pPr>
            <w:r>
              <w:t xml:space="preserve">HIGH</w:t>
            </w:r>
          </w:p>
        </w:tc>
        <w:tc>
          <w:tcPr/>
          <w:p>
            <w:pPr>
              <w:pStyle w:val="Compact"/>
            </w:pPr>
            <w:r>
              <w:t xml:space="preserve">3.40 to 4.19</w:t>
            </w:r>
          </w:p>
        </w:tc>
      </w:tr>
      <w:tr>
        <w:tc>
          <w:tcPr/>
          <w:p>
            <w:pPr>
              <w:pStyle w:val="Compact"/>
            </w:pPr>
            <w:r>
              <w:t xml:space="preserve">CRITICAL</w:t>
            </w:r>
          </w:p>
        </w:tc>
        <w:tc>
          <w:tcPr/>
          <w:p>
            <w:pPr>
              <w:pStyle w:val="Compact"/>
            </w:pPr>
            <w:r>
              <w:t xml:space="preserve">4.20 to 5.00</w:t>
            </w:r>
          </w:p>
        </w:tc>
      </w:tr>
    </w:tbl>
    <w:bookmarkEnd w:id="11"/>
    <w:bookmarkStart w:id="12" w:name="scoring"/>
    <w:p>
      <w:pPr>
        <w:pStyle w:val="Heading2"/>
      </w:pPr>
      <w:r>
        <w:t xml:space="preserve">3. Scoring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Domain</w:t>
            </w:r>
          </w:p>
        </w:tc>
        <w:tc>
          <w:tcPr/>
          <w:p>
            <w:pPr>
              <w:pStyle w:val="Compact"/>
            </w:pPr>
            <w:r>
              <w:t xml:space="preserve">Weight</w:t>
            </w:r>
          </w:p>
        </w:tc>
        <w:tc>
          <w:tcPr/>
          <w:p>
            <w:pPr>
              <w:pStyle w:val="Compact"/>
            </w:pPr>
            <w:r>
              <w:t xml:space="preserve">Score</w:t>
            </w:r>
          </w:p>
        </w:tc>
        <w:tc>
          <w:tcPr/>
          <w:p>
            <w:pPr>
              <w:pStyle w:val="Compact"/>
            </w:pPr>
            <w:r>
              <w:t xml:space="preserve">Weighted</w:t>
            </w:r>
          </w:p>
        </w:tc>
        <w:tc>
          <w:tcPr/>
          <w:p>
            <w:pPr>
              <w:pStyle w:val="Compact"/>
            </w:pPr>
            <w:r>
              <w:t xml:space="preserve">Basis</w:t>
            </w:r>
          </w:p>
        </w:tc>
      </w:tr>
      <w:tr>
        <w:tc>
          <w:tcPr/>
          <w:p>
            <w:pPr>
              <w:pStyle w:val="Compact"/>
            </w:pPr>
            <w:r>
              <w:t xml:space="preserve">D1. Data sensitivity and scope</w:t>
            </w:r>
          </w:p>
        </w:tc>
        <w:tc>
          <w:tcPr/>
          <w:p>
            <w:pPr>
              <w:pStyle w:val="Compact"/>
            </w:pPr>
            <w:r>
              <w:t xml:space="preserve">25%</w:t>
            </w:r>
          </w:p>
        </w:tc>
        <w:tc>
          <w:tcPr/>
          <w:p>
            <w:pPr>
              <w:pStyle w:val="Compact"/>
            </w:pPr>
            <w:r>
              <w:t xml:space="preserve">1</w:t>
            </w:r>
          </w:p>
        </w:tc>
        <w:tc>
          <w:tcPr/>
          <w:p>
            <w:pPr>
              <w:pStyle w:val="Compact"/>
            </w:pPr>
            <w:r>
              <w:t xml:space="preserve">0.25</w:t>
            </w:r>
          </w:p>
        </w:tc>
        <w:tc>
          <w:tcPr/>
          <w:p>
            <w:pPr>
              <w:pStyle w:val="Compact"/>
            </w:pPr>
            <w:r>
              <w:t xml:space="preserve">Aggregated, pseudonymized operational telemetry. No personal data, no customer content, no privileged material.</w:t>
            </w:r>
          </w:p>
        </w:tc>
      </w:tr>
      <w:tr>
        <w:tc>
          <w:tcPr/>
          <w:p>
            <w:pPr>
              <w:pStyle w:val="Compact"/>
            </w:pPr>
            <w:r>
              <w:t xml:space="preserve">D2. Security posture and certification</w:t>
            </w:r>
          </w:p>
        </w:tc>
        <w:tc>
          <w:tcPr/>
          <w:p>
            <w:pPr>
              <w:pStyle w:val="Compact"/>
            </w:pPr>
            <w:r>
              <w:t xml:space="preserve">20%</w:t>
            </w:r>
          </w:p>
        </w:tc>
        <w:tc>
          <w:tcPr/>
          <w:p>
            <w:pPr>
              <w:pStyle w:val="Compact"/>
            </w:pPr>
            <w:r>
              <w:t xml:space="preserve">1</w:t>
            </w:r>
          </w:p>
        </w:tc>
        <w:tc>
          <w:tcPr/>
          <w:p>
            <w:pPr>
              <w:pStyle w:val="Compact"/>
            </w:pPr>
            <w:r>
              <w:t xml:space="preserve">0.20</w:t>
            </w:r>
          </w:p>
        </w:tc>
        <w:tc>
          <w:tcPr/>
          <w:p>
            <w:pPr>
              <w:pStyle w:val="Compact"/>
            </w:pPr>
            <w:r>
              <w:t xml:space="preserve">SOC 2 Type II covering security, availability, and confidentiality, twelve-month period ended 2025-12-31, unqualified opinion, no exceptions. ISO/IEC 27001 certificate current to 2027-09-30.</w:t>
            </w:r>
          </w:p>
        </w:tc>
      </w:tr>
      <w:tr>
        <w:tc>
          <w:tcPr/>
          <w:p>
            <w:pPr>
              <w:pStyle w:val="Compact"/>
            </w:pPr>
            <w:r>
              <w:t xml:space="preserve">D3. Privacy and cross-border transfer</w:t>
            </w:r>
          </w:p>
        </w:tc>
        <w:tc>
          <w:tcPr/>
          <w:p>
            <w:pPr>
              <w:pStyle w:val="Compact"/>
            </w:pPr>
            <w:r>
              <w:t xml:space="preserve">15%</w:t>
            </w:r>
          </w:p>
        </w:tc>
        <w:tc>
          <w:tcPr/>
          <w:p>
            <w:pPr>
              <w:pStyle w:val="Compact"/>
            </w:pPr>
            <w:r>
              <w:t xml:space="preserve">2</w:t>
            </w:r>
          </w:p>
        </w:tc>
        <w:tc>
          <w:tcPr/>
          <w:p>
            <w:pPr>
              <w:pStyle w:val="Compact"/>
            </w:pPr>
            <w:r>
              <w:t xml:space="preserve">0.30</w:t>
            </w:r>
          </w:p>
        </w:tc>
        <w:tc>
          <w:tcPr/>
          <w:p>
            <w:pPr>
              <w:pStyle w:val="Compact"/>
            </w:pPr>
            <w:r>
              <w:t xml:space="preserve">No personal data in scope, so the transfer question is largely theoretical. Scored 2 rather than 1 because the vendor’s own support tooling is hosted in a third country and a residual re-identification risk, however small, is not zero.</w:t>
            </w:r>
          </w:p>
        </w:tc>
      </w:tr>
      <w:tr>
        <w:tc>
          <w:tcPr/>
          <w:p>
            <w:pPr>
              <w:pStyle w:val="Compact"/>
            </w:pPr>
            <w:r>
              <w:t xml:space="preserve">D4. Business continuity and concentration</w:t>
            </w:r>
          </w:p>
        </w:tc>
        <w:tc>
          <w:tcPr/>
          <w:p>
            <w:pPr>
              <w:pStyle w:val="Compact"/>
            </w:pPr>
            <w:r>
              <w:t xml:space="preserve">10%</w:t>
            </w:r>
          </w:p>
        </w:tc>
        <w:tc>
          <w:tcPr/>
          <w:p>
            <w:pPr>
              <w:pStyle w:val="Compact"/>
            </w:pPr>
            <w:r>
              <w:t xml:space="preserve">2</w:t>
            </w:r>
          </w:p>
        </w:tc>
        <w:tc>
          <w:tcPr/>
          <w:p>
            <w:pPr>
              <w:pStyle w:val="Compact"/>
            </w:pPr>
            <w:r>
              <w:t xml:space="preserve">0.20</w:t>
            </w:r>
          </w:p>
        </w:tc>
        <w:tc>
          <w:tcPr/>
          <w:p>
            <w:pPr>
              <w:pStyle w:val="Compact"/>
            </w:pPr>
            <w:r>
              <w:t xml:space="preserve">Single source for benchmarking, but the service is advisory. Loss of the vendor delays a quarterly report; it does not stop any business process.</w:t>
            </w:r>
          </w:p>
        </w:tc>
      </w:tr>
      <w:tr>
        <w:tc>
          <w:tcPr/>
          <w:p>
            <w:pPr>
              <w:pStyle w:val="Compact"/>
            </w:pPr>
            <w:r>
              <w:t xml:space="preserve">D5. Contractual and legal protections</w:t>
            </w:r>
          </w:p>
        </w:tc>
        <w:tc>
          <w:tcPr/>
          <w:p>
            <w:pPr>
              <w:pStyle w:val="Compact"/>
            </w:pPr>
            <w:r>
              <w:t xml:space="preserve">20%</w:t>
            </w:r>
          </w:p>
        </w:tc>
        <w:tc>
          <w:tcPr/>
          <w:p>
            <w:pPr>
              <w:pStyle w:val="Compact"/>
            </w:pPr>
            <w:r>
              <w:t xml:space="preserve">1</w:t>
            </w:r>
          </w:p>
        </w:tc>
        <w:tc>
          <w:tcPr/>
          <w:p>
            <w:pPr>
              <w:pStyle w:val="Compact"/>
            </w:pPr>
            <w:r>
              <w:t xml:space="preserve">0.20</w:t>
            </w:r>
          </w:p>
        </w:tc>
        <w:tc>
          <w:tcPr/>
          <w:p>
            <w:pPr>
              <w:pStyle w:val="Compact"/>
            </w:pPr>
            <w:r>
              <w:t xml:space="preserve">Company paper. Standard confidentiality, no rights in company data beyond the stated purpose, no publicity, thirty-day termination for convenience, cyber liability of $10,000,000.</w:t>
            </w:r>
          </w:p>
        </w:tc>
      </w:tr>
      <w:tr>
        <w:tc>
          <w:tcPr/>
          <w:p>
            <w:pPr>
              <w:pStyle w:val="Compact"/>
            </w:pPr>
            <w:r>
              <w:t xml:space="preserve">D6. AI, subprocessors, and subcontracting</w:t>
            </w:r>
          </w:p>
        </w:tc>
        <w:tc>
          <w:tcPr/>
          <w:p>
            <w:pPr>
              <w:pStyle w:val="Compact"/>
            </w:pPr>
            <w:r>
              <w:t xml:space="preserve">10%</w:t>
            </w:r>
          </w:p>
        </w:tc>
        <w:tc>
          <w:tcPr/>
          <w:p>
            <w:pPr>
              <w:pStyle w:val="Compact"/>
            </w:pPr>
            <w:r>
              <w:t xml:space="preserve">2</w:t>
            </w:r>
          </w:p>
        </w:tc>
        <w:tc>
          <w:tcPr/>
          <w:p>
            <w:pPr>
              <w:pStyle w:val="Compact"/>
            </w:pPr>
            <w:r>
              <w:t xml:space="preserve">0.20</w:t>
            </w:r>
          </w:p>
        </w:tc>
        <w:tc>
          <w:tcPr/>
          <w:p>
            <w:pPr>
              <w:pStyle w:val="Compact"/>
            </w:pPr>
            <w:r>
              <w:t xml:space="preserve">Three named subprocessors, all disclosed, all with a right of objection on thirty days’ notice. Contractual prohibition on training any model on company data. Scored 2 rather than 1 because the vendor operates machine learning internally and the prohibition is contractual rather than architectural.</w:t>
            </w:r>
          </w:p>
        </w:tc>
      </w:tr>
      <w:tr>
        <w:tc>
          <w:tcPr/>
          <w:p>
            <w:pPr>
              <w:pStyle w:val="Compact"/>
            </w:pPr>
            <w:r>
              <w:rPr>
                <w:b/>
                <w:bCs/>
              </w:rPr>
              <w:t xml:space="preserve">Composite</w:t>
            </w:r>
          </w:p>
        </w:tc>
        <w:tc>
          <w:tcPr/>
          <w:p>
            <w:pPr>
              <w:pStyle w:val="Compact"/>
            </w:pPr>
            <w:r>
              <w:rPr>
                <w:b/>
                <w:bCs/>
              </w:rPr>
              <w:t xml:space="preserve">100%</w:t>
            </w:r>
          </w:p>
        </w:tc>
        <w:tc>
          <w:tcPr/>
          <w:p>
            <w:pPr>
              <w:pStyle w:val="Compact"/>
            </w:pPr>
          </w:p>
        </w:tc>
        <w:tc>
          <w:tcPr/>
          <w:p>
            <w:pPr>
              <w:pStyle w:val="Compact"/>
            </w:pPr>
            <w:r>
              <w:rPr>
                <w:b/>
                <w:bCs/>
              </w:rPr>
              <w:t xml:space="preserve">1.35</w:t>
            </w:r>
          </w:p>
        </w:tc>
        <w:tc>
          <w:tcPr/>
          <w:p>
            <w:pPr>
              <w:pStyle w:val="Compact"/>
            </w:pPr>
            <w:r>
              <w:rPr>
                <w:b/>
                <w:bCs/>
              </w:rPr>
              <w:t xml:space="preserve">LOW</w:t>
            </w:r>
          </w:p>
        </w:tc>
      </w:tr>
    </w:tbl>
    <w:bookmarkEnd w:id="12"/>
    <w:bookmarkStart w:id="13" w:name="evidence-reviewed"/>
    <w:p>
      <w:pPr>
        <w:pStyle w:val="Heading2"/>
      </w:pPr>
      <w:r>
        <w:t xml:space="preserve">4. Evidence Reviewed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Artifact</w:t>
            </w:r>
          </w:p>
        </w:tc>
        <w:tc>
          <w:tcPr/>
          <w:p>
            <w:pPr>
              <w:pStyle w:val="Compact"/>
            </w:pPr>
            <w:r>
              <w:t xml:space="preserve">Date</w:t>
            </w:r>
          </w:p>
        </w:tc>
        <w:tc>
          <w:tcPr/>
          <w:p>
            <w:pPr>
              <w:pStyle w:val="Compact"/>
            </w:pPr>
            <w:r>
              <w:t xml:space="preserve">Reviewer</w:t>
            </w:r>
          </w:p>
        </w:tc>
      </w:tr>
      <w:tr>
        <w:tc>
          <w:tcPr/>
          <w:p>
            <w:pPr>
              <w:pStyle w:val="Compact"/>
            </w:pPr>
            <w:r>
              <w:t xml:space="preserve">1</w:t>
            </w:r>
          </w:p>
        </w:tc>
        <w:tc>
          <w:tcPr/>
          <w:p>
            <w:pPr>
              <w:pStyle w:val="Compact"/>
            </w:pPr>
            <w:r>
              <w:t xml:space="preserve">SOC 2 Type II report, period ended 2025-12-31</w:t>
            </w:r>
          </w:p>
        </w:tc>
        <w:tc>
          <w:tcPr/>
          <w:p>
            <w:pPr>
              <w:pStyle w:val="Compact"/>
            </w:pPr>
            <w:r>
              <w:t xml:space="preserve">Received 2026-04-09</w:t>
            </w:r>
          </w:p>
        </w:tc>
        <w:tc>
          <w:tcPr/>
          <w:p>
            <w:pPr>
              <w:pStyle w:val="Compact"/>
            </w:pPr>
            <w:r>
              <w:t xml:space="preserve">H. T. Ostrowski</w:t>
            </w:r>
          </w:p>
        </w:tc>
      </w:tr>
      <w:tr>
        <w:tc>
          <w:tcPr/>
          <w:p>
            <w:pPr>
              <w:pStyle w:val="Compact"/>
            </w:pPr>
            <w:r>
              <w:t xml:space="preserve">2</w:t>
            </w:r>
          </w:p>
        </w:tc>
        <w:tc>
          <w:tcPr/>
          <w:p>
            <w:pPr>
              <w:pStyle w:val="Compact"/>
            </w:pPr>
            <w:r>
              <w:t xml:space="preserve">ISO/IEC 27001 certificate and statement of applicability</w:t>
            </w:r>
          </w:p>
        </w:tc>
        <w:tc>
          <w:tcPr/>
          <w:p>
            <w:pPr>
              <w:pStyle w:val="Compact"/>
            </w:pPr>
            <w:r>
              <w:t xml:space="preserve">Received 2026-04-09</w:t>
            </w:r>
          </w:p>
        </w:tc>
        <w:tc>
          <w:tcPr/>
          <w:p>
            <w:pPr>
              <w:pStyle w:val="Compact"/>
            </w:pPr>
            <w:r>
              <w:t xml:space="preserve">H. T. Ostrowski</w:t>
            </w:r>
          </w:p>
        </w:tc>
      </w:tr>
      <w:tr>
        <w:tc>
          <w:tcPr/>
          <w:p>
            <w:pPr>
              <w:pStyle w:val="Compact"/>
            </w:pPr>
            <w:r>
              <w:t xml:space="preserve">3</w:t>
            </w:r>
          </w:p>
        </w:tc>
        <w:tc>
          <w:tcPr/>
          <w:p>
            <w:pPr>
              <w:pStyle w:val="Compact"/>
            </w:pPr>
            <w:r>
              <w:t xml:space="preserve">Penetration test executive summary, tested 2026-01-19 to 2026-01-30</w:t>
            </w:r>
          </w:p>
        </w:tc>
        <w:tc>
          <w:tcPr/>
          <w:p>
            <w:pPr>
              <w:pStyle w:val="Compact"/>
            </w:pPr>
            <w:r>
              <w:t xml:space="preserve">Received 2026-04-13</w:t>
            </w:r>
          </w:p>
        </w:tc>
        <w:tc>
          <w:tcPr/>
          <w:p>
            <w:pPr>
              <w:pStyle w:val="Compact"/>
            </w:pPr>
            <w:r>
              <w:t xml:space="preserve">H. T. Ostrowski</w:t>
            </w:r>
          </w:p>
        </w:tc>
      </w:tr>
      <w:tr>
        <w:tc>
          <w:tcPr/>
          <w:p>
            <w:pPr>
              <w:pStyle w:val="Compact"/>
            </w:pPr>
            <w:r>
              <w:t xml:space="preserve">4</w:t>
            </w:r>
          </w:p>
        </w:tc>
        <w:tc>
          <w:tcPr/>
          <w:p>
            <w:pPr>
              <w:pStyle w:val="Compact"/>
            </w:pPr>
            <w:r>
              <w:t xml:space="preserve">Field-level data map for the telemetry feed</w:t>
            </w:r>
          </w:p>
        </w:tc>
        <w:tc>
          <w:tcPr/>
          <w:p>
            <w:pPr>
              <w:pStyle w:val="Compact"/>
            </w:pPr>
            <w:r>
              <w:t xml:space="preserve">Prepared 2026-04-14</w:t>
            </w:r>
          </w:p>
        </w:tc>
        <w:tc>
          <w:tcPr/>
          <w:p>
            <w:pPr>
              <w:pStyle w:val="Compact"/>
            </w:pPr>
            <w:r>
              <w:t xml:space="preserve">Y. A. Barmani</w:t>
            </w:r>
          </w:p>
        </w:tc>
      </w:tr>
      <w:tr>
        <w:tc>
          <w:tcPr/>
          <w:p>
            <w:pPr>
              <w:pStyle w:val="Compact"/>
            </w:pPr>
            <w:r>
              <w:t xml:space="preserve">5</w:t>
            </w:r>
          </w:p>
        </w:tc>
        <w:tc>
          <w:tcPr/>
          <w:p>
            <w:pPr>
              <w:pStyle w:val="Compact"/>
            </w:pPr>
            <w:r>
              <w:t xml:space="preserve">Subprocessor list with locations and functions</w:t>
            </w:r>
          </w:p>
        </w:tc>
        <w:tc>
          <w:tcPr/>
          <w:p>
            <w:pPr>
              <w:pStyle w:val="Compact"/>
            </w:pPr>
            <w:r>
              <w:t xml:space="preserve">Received 2026-04-09</w:t>
            </w:r>
          </w:p>
        </w:tc>
        <w:tc>
          <w:tcPr/>
          <w:p>
            <w:pPr>
              <w:pStyle w:val="Compact"/>
            </w:pPr>
            <w:r>
              <w:t xml:space="preserve">Y. A. Barmani</w:t>
            </w:r>
          </w:p>
        </w:tc>
      </w:tr>
      <w:tr>
        <w:tc>
          <w:tcPr/>
          <w:p>
            <w:pPr>
              <w:pStyle w:val="Compact"/>
            </w:pPr>
            <w:r>
              <w:t xml:space="preserve">6</w:t>
            </w:r>
          </w:p>
        </w:tc>
        <w:tc>
          <w:tcPr/>
          <w:p>
            <w:pPr>
              <w:pStyle w:val="Compact"/>
            </w:pPr>
            <w:r>
              <w:t xml:space="preserve">Vendor security questionnaire, 142 items</w:t>
            </w:r>
          </w:p>
        </w:tc>
        <w:tc>
          <w:tcPr/>
          <w:p>
            <w:pPr>
              <w:pStyle w:val="Compact"/>
            </w:pPr>
            <w:r>
              <w:t xml:space="preserve">Returned 2026-04-16</w:t>
            </w:r>
          </w:p>
        </w:tc>
        <w:tc>
          <w:tcPr/>
          <w:p>
            <w:pPr>
              <w:pStyle w:val="Compact"/>
            </w:pPr>
            <w:r>
              <w:t xml:space="preserve">H. T. Ostrowski</w:t>
            </w:r>
          </w:p>
        </w:tc>
      </w:tr>
      <w:tr>
        <w:tc>
          <w:tcPr/>
          <w:p>
            <w:pPr>
              <w:pStyle w:val="Compact"/>
            </w:pPr>
            <w:r>
              <w:t xml:space="preserve">7</w:t>
            </w:r>
          </w:p>
        </w:tc>
        <w:tc>
          <w:tcPr/>
          <w:p>
            <w:pPr>
              <w:pStyle w:val="Compact"/>
            </w:pPr>
            <w:r>
              <w:t xml:space="preserve">Certificate of insurance</w:t>
            </w:r>
          </w:p>
        </w:tc>
        <w:tc>
          <w:tcPr/>
          <w:p>
            <w:pPr>
              <w:pStyle w:val="Compact"/>
            </w:pPr>
            <w:r>
              <w:t xml:space="preserve">Received 2026-04-20</w:t>
            </w:r>
          </w:p>
        </w:tc>
        <w:tc>
          <w:tcPr/>
          <w:p>
            <w:pPr>
              <w:pStyle w:val="Compact"/>
            </w:pPr>
            <w:r>
              <w:t xml:space="preserve">C. B. Nwosu</w:t>
            </w:r>
          </w:p>
        </w:tc>
      </w:tr>
      <w:tr>
        <w:tc>
          <w:tcPr/>
          <w:p>
            <w:pPr>
              <w:pStyle w:val="Compact"/>
            </w:pPr>
            <w:r>
              <w:t xml:space="preserve">8</w:t>
            </w:r>
          </w:p>
        </w:tc>
        <w:tc>
          <w:tcPr/>
          <w:p>
            <w:pPr>
              <w:pStyle w:val="Compact"/>
            </w:pPr>
            <w:r>
              <w:t xml:space="preserve">Executed master agreement and data processing addendum</w:t>
            </w:r>
          </w:p>
        </w:tc>
        <w:tc>
          <w:tcPr/>
          <w:p>
            <w:pPr>
              <w:pStyle w:val="Compact"/>
            </w:pPr>
            <w:r>
              <w:t xml:space="preserve">Executed 2026-04-30</w:t>
            </w:r>
          </w:p>
        </w:tc>
        <w:tc>
          <w:tcPr/>
          <w:p>
            <w:pPr>
              <w:pStyle w:val="Compact"/>
            </w:pPr>
            <w:r>
              <w:t xml:space="preserve">C. B. Nwosu</w:t>
            </w:r>
          </w:p>
        </w:tc>
      </w:tr>
    </w:tbl>
    <w:bookmarkEnd w:id="13"/>
    <w:bookmarkStart w:id="16" w:name="findings"/>
    <w:p>
      <w:pPr>
        <w:pStyle w:val="Heading2"/>
      </w:pPr>
      <w:r>
        <w:t xml:space="preserve">5. Findings</w:t>
      </w:r>
    </w:p>
    <w:bookmarkStart w:id="14" w:name="positive-findings"/>
    <w:p>
      <w:pPr>
        <w:pStyle w:val="Heading3"/>
      </w:pPr>
      <w:r>
        <w:t xml:space="preserve">5.1 Positive findings</w:t>
      </w:r>
    </w:p>
    <w:p>
      <w:pPr>
        <w:pStyle w:val="FirstParagraph"/>
      </w:pPr>
      <w:r>
        <w:rPr>
          <w:b/>
          <w:bCs/>
        </w:rPr>
        <w:t xml:space="preserve">F-1.</w:t>
      </w:r>
      <w:r>
        <w:t xml:space="preserve"> </w:t>
      </w:r>
      <w:r>
        <w:t xml:space="preserve">The SOC 2 Type II report is current, unqualified, and covers the confidentiality criterion, which many analytics vendors omit. The complementary user entity controls were reviewed and the company satisfies all four.</w:t>
      </w:r>
    </w:p>
    <w:p>
      <w:pPr>
        <w:pStyle w:val="BodyText"/>
      </w:pPr>
      <w:r>
        <w:rPr>
          <w:b/>
          <w:bCs/>
        </w:rPr>
        <w:t xml:space="preserve">F-2.</w:t>
      </w:r>
      <w:r>
        <w:t xml:space="preserve"> </w:t>
      </w:r>
      <w:r>
        <w:t xml:space="preserve">The contract prohibits DataPulse from using company data to train, tune, or evaluate any model, and from including company data in any benchmark cohort presented to another customer except in a form aggregated across at least twelve participants. The twelve-participant floor was negotiated and is the reason D6 did not score higher.</w:t>
      </w:r>
    </w:p>
    <w:p>
      <w:pPr>
        <w:pStyle w:val="BodyText"/>
      </w:pPr>
      <w:r>
        <w:rPr>
          <w:b/>
          <w:bCs/>
        </w:rPr>
        <w:t xml:space="preserve">F-3.</w:t>
      </w:r>
      <w:r>
        <w:t xml:space="preserve"> </w:t>
      </w:r>
      <w:r>
        <w:t xml:space="preserve">DataPulse holds no credentials to any company system. The feed is pushed outbound by the company on a schedule. This eliminates the most common analytics-vendor exposure, which is a standing read credential into a production data store.</w:t>
      </w:r>
    </w:p>
    <w:bookmarkEnd w:id="14"/>
    <w:bookmarkStart w:id="15" w:name="observations-non-blocking"/>
    <w:p>
      <w:pPr>
        <w:pStyle w:val="Heading3"/>
      </w:pPr>
      <w:r>
        <w:t xml:space="preserve">5.2 Observations, non-blocking</w:t>
      </w:r>
    </w:p>
    <w:p>
      <w:pPr>
        <w:pStyle w:val="FirstParagraph"/>
      </w:pPr>
      <w:r>
        <w:rPr>
          <w:b/>
          <w:bCs/>
        </w:rPr>
        <w:t xml:space="preserve">O-1.</w:t>
      </w:r>
      <w:r>
        <w:t xml:space="preserve"> </w:t>
      </w:r>
      <w:r>
        <w:t xml:space="preserve">The vendor’s support tooling is hosted in a third country and support engineers can view submitted diagnostic bundles. Diagnostic bundles could in principle contain a tenant pseudonym alongside a timestamp, which is a weak re-identification vector for anyone holding the company’s own logs. Advisory only. Recommended that diagnostic bundles be scrubbed of pseudonyms before submission.</w:t>
      </w:r>
    </w:p>
    <w:p>
      <w:pPr>
        <w:pStyle w:val="BodyText"/>
      </w:pPr>
      <w:r>
        <w:rPr>
          <w:b/>
          <w:bCs/>
        </w:rPr>
        <w:t xml:space="preserve">O-2.</w:t>
      </w:r>
      <w:r>
        <w:t xml:space="preserve"> </w:t>
      </w:r>
      <w:r>
        <w:t xml:space="preserve">The subprocessor objection right is thirty days, which is short if the objection requires the company to find an alternative vendor. Advisory. Recommended that the objection period be extended to sixty days at renewal.</w:t>
      </w:r>
    </w:p>
    <w:p>
      <w:pPr>
        <w:pStyle w:val="BodyText"/>
      </w:pPr>
      <w:r>
        <w:rPr>
          <w:b/>
          <w:bCs/>
        </w:rPr>
        <w:t xml:space="preserve">O-3.</w:t>
      </w:r>
      <w:r>
        <w:t xml:space="preserve"> </w:t>
      </w:r>
      <w:r>
        <w:t xml:space="preserve">No exit or data portability provision, because there is no company data held at the vendor at rest beyond ninety days. Confirmed by the vendor’s retention statement and accepted.</w:t>
      </w:r>
    </w:p>
    <w:bookmarkEnd w:id="15"/>
    <w:bookmarkEnd w:id="16"/>
    <w:bookmarkStart w:id="17" w:name="disposition"/>
    <w:p>
      <w:pPr>
        <w:pStyle w:val="Heading2"/>
      </w:pPr>
      <w:r>
        <w:t xml:space="preserve">6. Disposition</w:t>
      </w:r>
    </w:p>
    <w:p>
      <w:pPr>
        <w:pStyle w:val="FirstParagraph"/>
      </w:pPr>
      <w:r>
        <w:rPr>
          <w:b/>
          <w:bCs/>
        </w:rPr>
        <w:t xml:space="preserve">APPROVED.</w:t>
      </w:r>
      <w:r>
        <w:t xml:space="preserve"> </w:t>
      </w:r>
      <w:r>
        <w:t xml:space="preserve">No mandatory conditions.</w:t>
      </w:r>
    </w:p>
    <w:p>
      <w:pPr>
        <w:pStyle w:val="BodyText"/>
      </w:pPr>
      <w:r>
        <w:t xml:space="preserve">Two advisory recommendations, tracked but not gating: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Recommendation</w:t>
            </w:r>
          </w:p>
        </w:tc>
        <w:tc>
          <w:tcPr/>
          <w:p>
            <w:pPr>
              <w:pStyle w:val="Compact"/>
            </w:pPr>
            <w:r>
              <w:t xml:space="preserve">Owner</w:t>
            </w:r>
          </w:p>
        </w:tc>
        <w:tc>
          <w:tcPr/>
          <w:p>
            <w:pPr>
              <w:pStyle w:val="Compact"/>
            </w:pPr>
            <w:r>
              <w:t xml:space="preserve">Target</w:t>
            </w:r>
          </w:p>
        </w:tc>
      </w:tr>
      <w:tr>
        <w:tc>
          <w:tcPr/>
          <w:p>
            <w:pPr>
              <w:pStyle w:val="Compact"/>
            </w:pPr>
            <w:r>
              <w:t xml:space="preserve">R-1</w:t>
            </w:r>
          </w:p>
        </w:tc>
        <w:tc>
          <w:tcPr/>
          <w:p>
            <w:pPr>
              <w:pStyle w:val="Compact"/>
            </w:pPr>
            <w:r>
              <w:t xml:space="preserve">Scrub tenant pseudonyms from diagnostic bundles before submission to vendor support</w:t>
            </w:r>
          </w:p>
        </w:tc>
        <w:tc>
          <w:tcPr/>
          <w:p>
            <w:pPr>
              <w:pStyle w:val="Compact"/>
            </w:pPr>
            <w:r>
              <w:t xml:space="preserve">T. J. Muldoon</w:t>
            </w:r>
          </w:p>
        </w:tc>
        <w:tc>
          <w:tcPr/>
          <w:p>
            <w:pPr>
              <w:pStyle w:val="Compact"/>
            </w:pPr>
            <w:r>
              <w:t xml:space="preserve">2026-09-11</w:t>
            </w:r>
          </w:p>
        </w:tc>
      </w:tr>
      <w:tr>
        <w:tc>
          <w:tcPr/>
          <w:p>
            <w:pPr>
              <w:pStyle w:val="Compact"/>
            </w:pPr>
            <w:r>
              <w:t xml:space="preserve">R-2</w:t>
            </w:r>
          </w:p>
        </w:tc>
        <w:tc>
          <w:tcPr/>
          <w:p>
            <w:pPr>
              <w:pStyle w:val="Compact"/>
            </w:pPr>
            <w:r>
              <w:t xml:space="preserve">Extend the subprocessor objection period to sixty days at the next renewal</w:t>
            </w:r>
          </w:p>
        </w:tc>
        <w:tc>
          <w:tcPr/>
          <w:p>
            <w:pPr>
              <w:pStyle w:val="Compact"/>
            </w:pPr>
            <w:r>
              <w:t xml:space="preserve">C. B. Nwosu</w:t>
            </w:r>
          </w:p>
        </w:tc>
        <w:tc>
          <w:tcPr/>
          <w:p>
            <w:pPr>
              <w:pStyle w:val="Compact"/>
            </w:pPr>
            <w:r>
              <w:t xml:space="preserve">Renewal, 2027-04-30</w:t>
            </w:r>
          </w:p>
        </w:tc>
      </w:tr>
    </w:tbl>
    <w:p>
      <w:pPr>
        <w:pStyle w:val="BodyText"/>
      </w:pPr>
      <w:r>
        <w:rPr>
          <w:b/>
          <w:bCs/>
        </w:rPr>
        <w:t xml:space="preserve">Approval scope.</w:t>
      </w:r>
      <w:r>
        <w:t xml:space="preserve"> </w:t>
      </w:r>
      <w:r>
        <w:t xml:space="preserve">This approval covers the data categories in Section 1.1 only. Introduction of any personal data, customer content, or source code into the feed requires reassessment before transmission, not after.</w:t>
      </w:r>
    </w:p>
    <w:p>
      <w:pPr>
        <w:pStyle w:val="BodyText"/>
      </w:pPr>
      <w:r>
        <w:rPr>
          <w:b/>
          <w:bCs/>
        </w:rPr>
        <w:t xml:space="preserve">Reassessment.</w:t>
      </w:r>
      <w:r>
        <w:t xml:space="preserve"> </w:t>
      </w:r>
      <w:r>
        <w:t xml:space="preserve">April 30, 2028, or immediately on any of: a new subprocessor, a change of control, a reported security incident, a change to the data categories in Section 1.1, or the introduction of model training on customer content.</w:t>
      </w:r>
    </w:p>
    <w:bookmarkEnd w:id="17"/>
    <w:bookmarkStart w:id="18" w:name="approvals"/>
    <w:p>
      <w:pPr>
        <w:pStyle w:val="Heading2"/>
      </w:pPr>
      <w:r>
        <w:t xml:space="preserve">7. Approvals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Name</w:t>
            </w:r>
          </w:p>
        </w:tc>
        <w:tc>
          <w:tcPr/>
          <w:p>
            <w:pPr>
              <w:pStyle w:val="Compact"/>
            </w:pPr>
            <w:r>
              <w:t xml:space="preserve">Decision</w:t>
            </w:r>
          </w:p>
        </w:tc>
        <w:tc>
          <w:tcPr/>
          <w:p>
            <w:pPr>
              <w:pStyle w:val="Compact"/>
            </w:pPr>
            <w:r>
              <w:t xml:space="preserve">Date</w:t>
            </w:r>
          </w:p>
        </w:tc>
      </w:tr>
      <w:tr>
        <w:tc>
          <w:tcPr/>
          <w:p>
            <w:pPr>
              <w:pStyle w:val="Compact"/>
            </w:pPr>
            <w:r>
              <w:t xml:space="preserve">Assessor</w:t>
            </w:r>
          </w:p>
        </w:tc>
        <w:tc>
          <w:tcPr/>
          <w:p>
            <w:pPr>
              <w:pStyle w:val="Compact"/>
            </w:pPr>
            <w:r>
              <w:t xml:space="preserve">Cordelia B. Nwosu</w:t>
            </w:r>
          </w:p>
        </w:tc>
        <w:tc>
          <w:tcPr/>
          <w:p>
            <w:pPr>
              <w:pStyle w:val="Compact"/>
            </w:pPr>
            <w:r>
              <w:t xml:space="preserve">Recommend approval</w:t>
            </w:r>
          </w:p>
        </w:tc>
        <w:tc>
          <w:tcPr/>
          <w:p>
            <w:pPr>
              <w:pStyle w:val="Compact"/>
            </w:pPr>
            <w:r>
              <w:t xml:space="preserve">2026-04-28</w:t>
            </w:r>
          </w:p>
        </w:tc>
      </w:tr>
      <w:tr>
        <w:tc>
          <w:tcPr/>
          <w:p>
            <w:pPr>
              <w:pStyle w:val="Compact"/>
            </w:pPr>
            <w:r>
              <w:t xml:space="preserve">Security</w:t>
            </w:r>
          </w:p>
        </w:tc>
        <w:tc>
          <w:tcPr/>
          <w:p>
            <w:pPr>
              <w:pStyle w:val="Compact"/>
            </w:pPr>
            <w:r>
              <w:t xml:space="preserve">Hannah T. Ostrowski</w:t>
            </w:r>
          </w:p>
        </w:tc>
        <w:tc>
          <w:tcPr/>
          <w:p>
            <w:pPr>
              <w:pStyle w:val="Compact"/>
            </w:pPr>
            <w:r>
              <w:t xml:space="preserve">Concur</w:t>
            </w:r>
          </w:p>
        </w:tc>
        <w:tc>
          <w:tcPr/>
          <w:p>
            <w:pPr>
              <w:pStyle w:val="Compact"/>
            </w:pPr>
            <w:r>
              <w:t xml:space="preserve">2026-04-28</w:t>
            </w:r>
          </w:p>
        </w:tc>
      </w:tr>
      <w:tr>
        <w:tc>
          <w:tcPr/>
          <w:p>
            <w:pPr>
              <w:pStyle w:val="Compact"/>
            </w:pPr>
            <w:r>
              <w:t xml:space="preserve">Privacy</w:t>
            </w:r>
          </w:p>
        </w:tc>
        <w:tc>
          <w:tcPr/>
          <w:p>
            <w:pPr>
              <w:pStyle w:val="Compact"/>
            </w:pPr>
            <w:r>
              <w:t xml:space="preserve">Yusuf A. Barmani</w:t>
            </w:r>
          </w:p>
        </w:tc>
        <w:tc>
          <w:tcPr/>
          <w:p>
            <w:pPr>
              <w:pStyle w:val="Compact"/>
            </w:pPr>
            <w:r>
              <w:t xml:space="preserve">Concur</w:t>
            </w:r>
          </w:p>
        </w:tc>
        <w:tc>
          <w:tcPr/>
          <w:p>
            <w:pPr>
              <w:pStyle w:val="Compact"/>
            </w:pPr>
            <w:r>
              <w:t xml:space="preserve">2026-04-29</w:t>
            </w:r>
          </w:p>
        </w:tc>
      </w:tr>
      <w:tr>
        <w:tc>
          <w:tcPr/>
          <w:p>
            <w:pPr>
              <w:pStyle w:val="Compact"/>
            </w:pPr>
            <w:r>
              <w:t xml:space="preserve">Procurement</w:t>
            </w:r>
          </w:p>
        </w:tc>
        <w:tc>
          <w:tcPr/>
          <w:p>
            <w:pPr>
              <w:pStyle w:val="Compact"/>
            </w:pPr>
            <w:r>
              <w:t xml:space="preserve">Grady L. Thomsen</w:t>
            </w:r>
          </w:p>
        </w:tc>
        <w:tc>
          <w:tcPr/>
          <w:p>
            <w:pPr>
              <w:pStyle w:val="Compact"/>
            </w:pPr>
            <w:r>
              <w:t xml:space="preserve">Purchase order released</w:t>
            </w:r>
          </w:p>
        </w:tc>
        <w:tc>
          <w:tcPr/>
          <w:p>
            <w:pPr>
              <w:pStyle w:val="Compact"/>
            </w:pPr>
            <w:r>
              <w:t xml:space="preserve">2026-04-30</w:t>
            </w:r>
          </w:p>
        </w:tc>
      </w:tr>
      <w:tr>
        <w:tc>
          <w:tcPr/>
          <w:p>
            <w:pPr>
              <w:pStyle w:val="Compact"/>
            </w:pPr>
            <w:r>
              <w:t xml:space="preserve">Vendor Risk Council</w:t>
            </w:r>
          </w:p>
        </w:tc>
        <w:tc>
          <w:tcPr/>
          <w:p>
            <w:pPr>
              <w:pStyle w:val="Compact"/>
            </w:pPr>
            <w:r>
              <w:t xml:space="preserve">Chair: C. B. Nwosu</w:t>
            </w:r>
          </w:p>
        </w:tc>
        <w:tc>
          <w:tcPr/>
          <w:p>
            <w:pPr>
              <w:pStyle w:val="Compact"/>
            </w:pPr>
            <w:r>
              <w:rPr>
                <w:b/>
                <w:bCs/>
              </w:rPr>
              <w:t xml:space="preserve">Approved</w:t>
            </w:r>
          </w:p>
        </w:tc>
        <w:tc>
          <w:tcPr/>
          <w:p>
            <w:pPr>
              <w:pStyle w:val="Compact"/>
            </w:pPr>
            <w:r>
              <w:t xml:space="preserve">2026-04-30</w:t>
            </w:r>
          </w:p>
        </w:tc>
      </w:tr>
    </w:tbl>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2026-08-09T02:04:45Z</dcterms:created>
  <dcterms:modified xsi:type="dcterms:W3CDTF">2026-08-09T02:04:45Z</dcterms:modified>
</cp:coreProperties>
</file>

<file path=docProps/custom.xml><?xml version="1.0" encoding="utf-8"?>
<Properties xmlns="http://schemas.openxmlformats.org/officeDocument/2006/custom-properties" xmlns:vt="http://schemas.openxmlformats.org/officeDocument/2006/docPropsVTypes"/>
</file>