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dical-plan-summary-plan-description"/>
    <w:p>
      <w:pPr>
        <w:pStyle w:val="Heading1"/>
      </w:pPr>
      <w:r>
        <w:t xml:space="preserve">Medical Plan: Summary Plan Description</w:t>
      </w:r>
    </w:p>
    <w:bookmarkStart w:id="9" w:name="document-control"/>
    <w:p>
      <w:pPr>
        <w:pStyle w:val="Heading2"/>
      </w:pPr>
      <w: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ADI-BNF-002</w:t>
            </w:r>
          </w:p>
        </w:tc>
      </w:tr>
      <w:tr>
        <w:tc>
          <w:tcPr/>
          <w:p>
            <w:pPr>
              <w:pStyle w:val="Compact"/>
            </w:pPr>
            <w:r>
              <w:t xml:space="preserve">Version</w:t>
            </w:r>
          </w:p>
        </w:tc>
        <w:tc>
          <w:tcPr/>
          <w:p>
            <w:pPr>
              <w:pStyle w:val="Compact"/>
            </w:pPr>
            <w:r>
              <w:t xml:space="preserve">3.0</w:t>
            </w:r>
          </w:p>
        </w:tc>
      </w:tr>
      <w:tr>
        <w:tc>
          <w:tcPr/>
          <w:p>
            <w:pPr>
              <w:pStyle w:val="Compact"/>
            </w:pPr>
            <w:r>
              <w:t xml:space="preserve">Status</w:t>
            </w:r>
          </w:p>
        </w:tc>
        <w:tc>
          <w:tcPr/>
          <w:p>
            <w:pPr>
              <w:pStyle w:val="Compact"/>
            </w:pPr>
            <w:r>
              <w:t xml:space="preserve">Active</w:t>
            </w:r>
          </w:p>
        </w:tc>
      </w:tr>
      <w:tr>
        <w:tc>
          <w:tcPr/>
          <w:p>
            <w:pPr>
              <w:pStyle w:val="Compact"/>
            </w:pPr>
            <w:r>
              <w:t xml:space="preserve">Owner</w:t>
            </w:r>
          </w:p>
        </w:tc>
        <w:tc>
          <w:tcPr/>
          <w:p>
            <w:pPr>
              <w:pStyle w:val="Compact"/>
            </w:pPr>
            <w:r>
              <w:t xml:space="preserve">Constance Adeyemi, Chief People Officer</w:t>
            </w:r>
          </w:p>
        </w:tc>
      </w:tr>
      <w:tr>
        <w:tc>
          <w:tcPr/>
          <w:p>
            <w:pPr>
              <w:pStyle w:val="Compact"/>
            </w:pPr>
            <w:r>
              <w:t xml:space="preserve">Approver</w:t>
            </w:r>
          </w:p>
        </w:tc>
        <w:tc>
          <w:tcPr/>
          <w:p>
            <w:pPr>
              <w:pStyle w:val="Compact"/>
            </w:pPr>
            <w:r>
              <w:t xml:space="preserve">Priya Raghunathan, General Counsel and Corporate Secretary</w:t>
            </w:r>
          </w:p>
        </w:tc>
      </w:tr>
      <w:tr>
        <w:tc>
          <w:tcPr/>
          <w:p>
            <w:pPr>
              <w:pStyle w:val="Compact"/>
            </w:pPr>
            <w:r>
              <w:t xml:space="preserve">Effective Date</w:t>
            </w:r>
          </w:p>
        </w:tc>
        <w:tc>
          <w:tcPr/>
          <w:p>
            <w:pPr>
              <w:pStyle w:val="Compact"/>
            </w:pPr>
            <w:r>
              <w:t xml:space="preserve">2026-01-01</w:t>
            </w:r>
          </w:p>
        </w:tc>
      </w:tr>
      <w:tr>
        <w:tc>
          <w:tcPr/>
          <w:p>
            <w:pPr>
              <w:pStyle w:val="Compact"/>
            </w:pPr>
            <w:r>
              <w:t xml:space="preserve">Last Reviewed</w:t>
            </w:r>
          </w:p>
        </w:tc>
        <w:tc>
          <w:tcPr/>
          <w:p>
            <w:pPr>
              <w:pStyle w:val="Compact"/>
            </w:pPr>
            <w:r>
              <w:t xml:space="preserve">2026-01-01</w:t>
            </w:r>
          </w:p>
        </w:tc>
      </w:tr>
      <w:tr>
        <w:tc>
          <w:tcPr/>
          <w:p>
            <w:pPr>
              <w:pStyle w:val="Compact"/>
            </w:pPr>
            <w:r>
              <w:t xml:space="preserve">Next Review Due</w:t>
            </w:r>
          </w:p>
        </w:tc>
        <w:tc>
          <w:tcPr/>
          <w:p>
            <w:pPr>
              <w:pStyle w:val="Compact"/>
            </w:pPr>
            <w:r>
              <w:t xml:space="preserve">2026-10-01</w:t>
            </w:r>
          </w:p>
        </w:tc>
      </w:tr>
      <w:tr>
        <w:tc>
          <w:tcPr/>
          <w:p>
            <w:pPr>
              <w:pStyle w:val="Compact"/>
            </w:pPr>
            <w:r>
              <w:t xml:space="preserve">Supersedes</w:t>
            </w:r>
          </w:p>
        </w:tc>
        <w:tc>
          <w:tcPr/>
          <w:p>
            <w:pPr>
              <w:pStyle w:val="Compact"/>
            </w:pPr>
            <w:r>
              <w:t xml:space="preserve">ADI-BNF-002 v2.0</w:t>
            </w:r>
          </w:p>
        </w:tc>
      </w:tr>
      <w:tr>
        <w:tc>
          <w:tcPr/>
          <w:p>
            <w:pPr>
              <w:pStyle w:val="Compact"/>
            </w:pPr>
            <w:r>
              <w:t xml:space="preserve">Superseded By</w:t>
            </w:r>
          </w:p>
        </w:tc>
        <w:tc>
          <w:tcPr/>
          <w:p>
            <w:pPr>
              <w:pStyle w:val="Compact"/>
            </w:pPr>
            <w:r>
              <w:t xml:space="preserve">None</w:t>
            </w:r>
          </w:p>
        </w:tc>
      </w:tr>
    </w:tbl>
    <w:bookmarkEnd w:id="9"/>
    <w:bookmarkStart w:id="10" w:name="plan-overview"/>
    <w:p>
      <w:pPr>
        <w:pStyle w:val="Heading2"/>
      </w:pPr>
      <w:r>
        <w:t xml:space="preserve">1. Plan Overview</w:t>
      </w:r>
    </w:p>
    <w:p>
      <w:pPr>
        <w:pStyle w:val="FirstParagraph"/>
      </w:pPr>
      <w:r>
        <w:t xml:space="preserve">The medical plan pays for care you and your covered dependents receive from doctors, hospitals and pharmacies. You choose one of two options for each plan year. The Choice PPO option has lower deductibles and out-of-pocket maximums. The Saver HSA option has higher deductibles and can be paired with a health savings account, described in ADI-BNF-005. Both options cover the same services through the same provider network; they differ in what you pay before the plan begins to share costs. Your share of the premium for each option and coverage tier is shown in the HRIS when you enroll.</w:t>
      </w:r>
    </w:p>
    <w:bookmarkEnd w:id="10"/>
    <w:bookmarkStart w:id="11" w:name="eligibility-and-participation"/>
    <w:p>
      <w:pPr>
        <w:pStyle w:val="Heading2"/>
      </w:pPr>
      <w:r>
        <w:t xml:space="preserve">2. Eligibility and Participation</w:t>
      </w:r>
    </w:p>
    <w:p>
      <w:pPr>
        <w:pStyle w:val="FirstParagraph"/>
      </w:pPr>
      <w:r>
        <w:t xml:space="preserve">You are eligible if you are a regular full-time employee, or a regular part-time employee scheduled for 20 or more hours per week. Coverage begins on the first day of the month following the date of hire. You may also cover your spouse and your children up to age 26. Your coverage and your dependents’ coverage end on the last day of the month in which separation occurs, and you receive continuation coverage information from the plan administrator.</w:t>
      </w:r>
    </w:p>
    <w:bookmarkEnd w:id="11"/>
    <w:bookmarkStart w:id="12" w:name="enrollment-and-changes"/>
    <w:p>
      <w:pPr>
        <w:pStyle w:val="Heading2"/>
      </w:pPr>
      <w:r>
        <w:t xml:space="preserve">3. Enrollment and Changes</w:t>
      </w:r>
    </w:p>
    <w:p>
      <w:pPr>
        <w:pStyle w:val="FirstParagraph"/>
      </w:pPr>
      <w:r>
        <w:t xml:space="preserve">You enroll in the HRIS by choosing an option and a coverage tier: employee only, employee and spouse, employee and children, or family. Your election lasts for the whole plan year. You may change it at the next open enrollment, or after a qualifying life event; ADI-BNF-007 sets out which events qualify and how long you have to report them.</w:t>
      </w:r>
    </w:p>
    <w:p>
      <w:pPr>
        <w:pStyle w:val="BodyText"/>
      </w:pPr>
      <w:r>
        <w:t xml:space="preserve">If you add a dependent after a qualifying life event, coverage for that dependent begins on the date of the birth or placement for a birth or adoption, and otherwise on the first day of the month after the change is reported. If you remove a dependent after a qualifying life event, that dependent’s coverage ends on the last day of the month in which you report the change.</w:t>
      </w:r>
    </w:p>
    <w:p>
      <w:pPr>
        <w:pStyle w:val="BodyText"/>
      </w:pPr>
      <w:r>
        <w:t xml:space="preserve">If you waive medical coverage, you may enroll at the next open enrollment or after a qualifying life event.</w:t>
      </w:r>
    </w:p>
    <w:bookmarkEnd w:id="12"/>
    <w:bookmarkStart w:id="20" w:name="covered-benefits"/>
    <w:p>
      <w:pPr>
        <w:pStyle w:val="Heading2"/>
      </w:pPr>
      <w:r>
        <w:t xml:space="preserve">4. Covered Benefits</w:t>
      </w:r>
    </w:p>
    <w:p>
      <w:pPr>
        <w:pStyle w:val="FirstParagraph"/>
      </w:pPr>
      <w:r>
        <w:t xml:space="preserve">Every benefit below is available to you and to each dependent you cover, on both options. After you meet your deductible, the plan pays its share of the cost of covered care until you reach your out-of-pocket maximum for the plan year, and after that the plan pays 100 percent of covered care for the rest of the plan year. Family amounts apply when you cover one or more dependents.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Amount for the plan year</w:t>
            </w:r>
          </w:p>
        </w:tc>
        <w:tc>
          <w:tcPr/>
          <w:p>
            <w:pPr>
              <w:pStyle w:val="Compact"/>
            </w:pPr>
            <w:r>
              <w:t xml:space="preserve">Choice PPO option</w:t>
            </w:r>
          </w:p>
        </w:tc>
        <w:tc>
          <w:tcPr/>
          <w:p>
            <w:pPr>
              <w:pStyle w:val="Compact"/>
            </w:pPr>
            <w:r>
              <w:t xml:space="preserve">Saver HSA option</w:t>
            </w:r>
          </w:p>
        </w:tc>
      </w:tr>
      <w:tr>
        <w:tc>
          <w:tcPr/>
          <w:p>
            <w:pPr>
              <w:pStyle w:val="Compact"/>
            </w:pPr>
            <w:r>
              <w:t xml:space="preserve">Deductible, individual</w:t>
            </w:r>
          </w:p>
        </w:tc>
        <w:tc>
          <w:tcPr/>
          <w:p>
            <w:pPr>
              <w:pStyle w:val="Compact"/>
            </w:pPr>
            <w:r>
              <w:t xml:space="preserve">$1,000</w:t>
            </w:r>
          </w:p>
        </w:tc>
        <w:tc>
          <w:tcPr/>
          <w:p>
            <w:pPr>
              <w:pStyle w:val="Compact"/>
            </w:pPr>
            <w:r>
              <w:t xml:space="preserve">$2,000</w:t>
            </w:r>
          </w:p>
        </w:tc>
      </w:tr>
      <w:tr>
        <w:tc>
          <w:tcPr/>
          <w:p>
            <w:pPr>
              <w:pStyle w:val="Compact"/>
            </w:pPr>
            <w:r>
              <w:t xml:space="preserve">Deductible, family</w:t>
            </w:r>
          </w:p>
        </w:tc>
        <w:tc>
          <w:tcPr/>
          <w:p>
            <w:pPr>
              <w:pStyle w:val="Compact"/>
            </w:pPr>
            <w:r>
              <w:t xml:space="preserve">$2,000</w:t>
            </w:r>
          </w:p>
        </w:tc>
        <w:tc>
          <w:tcPr/>
          <w:p>
            <w:pPr>
              <w:pStyle w:val="Compact"/>
            </w:pPr>
            <w:r>
              <w:t xml:space="preserve">$4,000</w:t>
            </w:r>
          </w:p>
        </w:tc>
      </w:tr>
      <w:tr>
        <w:tc>
          <w:tcPr/>
          <w:p>
            <w:pPr>
              <w:pStyle w:val="Compact"/>
            </w:pPr>
            <w:r>
              <w:t xml:space="preserve">Out-of-pocket maximum, individual</w:t>
            </w:r>
          </w:p>
        </w:tc>
        <w:tc>
          <w:tcPr/>
          <w:p>
            <w:pPr>
              <w:pStyle w:val="Compact"/>
            </w:pPr>
            <w:r>
              <w:t xml:space="preserve">$4,000</w:t>
            </w:r>
          </w:p>
        </w:tc>
        <w:tc>
          <w:tcPr/>
          <w:p>
            <w:pPr>
              <w:pStyle w:val="Compact"/>
            </w:pPr>
            <w:r>
              <w:t xml:space="preserve">$5,000</w:t>
            </w:r>
          </w:p>
        </w:tc>
      </w:tr>
      <w:tr>
        <w:tc>
          <w:tcPr/>
          <w:p>
            <w:pPr>
              <w:pStyle w:val="Compact"/>
            </w:pPr>
            <w:r>
              <w:t xml:space="preserve">Out-of-pocket maximum, family</w:t>
            </w:r>
          </w:p>
        </w:tc>
        <w:tc>
          <w:tcPr/>
          <w:p>
            <w:pPr>
              <w:pStyle w:val="Compact"/>
            </w:pPr>
            <w:r>
              <w:t xml:space="preserve">$8,000</w:t>
            </w:r>
          </w:p>
        </w:tc>
        <w:tc>
          <w:tcPr/>
          <w:p>
            <w:pPr>
              <w:pStyle w:val="Compact"/>
            </w:pPr>
            <w:r>
              <w:t xml:space="preserve">$10,000</w:t>
            </w:r>
          </w:p>
        </w:tc>
      </w:tr>
    </w:tbl>
    <w:p>
      <w:pPr>
        <w:pStyle w:val="BodyText"/>
      </w:pPr>
      <w:r>
        <w:t xml:space="preserve">In network means a provider in the plan’s network, listed in the network directory in the HRIS.</w:t>
      </w:r>
    </w:p>
    <w:bookmarkStart w:id="13" w:name="preventive-care"/>
    <w:p>
      <w:pPr>
        <w:pStyle w:val="Heading3"/>
      </w:pPr>
      <w:r>
        <w:t xml:space="preserve">Preventive care</w:t>
      </w:r>
    </w:p>
    <w:p>
      <w:pPr>
        <w:pStyle w:val="FirstParagraph"/>
      </w:pPr>
      <w:r>
        <w:t xml:space="preserve">Routine physical exams, recommended screenings and immunizations, and well-child visits are covered for you and each covered dependent. The plan pays 100 percent in network with no deductible on both options.</w:t>
      </w:r>
    </w:p>
    <w:bookmarkEnd w:id="13"/>
    <w:bookmarkStart w:id="14" w:name="office-visits"/>
    <w:p>
      <w:pPr>
        <w:pStyle w:val="Heading3"/>
      </w:pPr>
      <w:r>
        <w:t xml:space="preserve">Office visits</w:t>
      </w:r>
    </w:p>
    <w:p>
      <w:pPr>
        <w:pStyle w:val="FirstParagraph"/>
      </w:pPr>
      <w:r>
        <w:t xml:space="preserve">Visits to a primary care doctor or a specialist, in person or by video, are covered. On both options the plan pays 80 percent in network and 60 percent out of network, after the deductible.</w:t>
      </w:r>
    </w:p>
    <w:bookmarkEnd w:id="14"/>
    <w:bookmarkStart w:id="15" w:name="physical-therapy"/>
    <w:p>
      <w:pPr>
        <w:pStyle w:val="Heading3"/>
      </w:pPr>
      <w:r>
        <w:t xml:space="preserve">Physical therapy</w:t>
      </w:r>
    </w:p>
    <w:p>
      <w:pPr>
        <w:pStyle w:val="FirstParagraph"/>
      </w:pPr>
      <w:r>
        <w:t xml:space="preserve">Outpatient physical therapy that a doctor prescribes to restore movement or function is covered at the office visit share for your option. Physical therapy is limited to 30 visits per plan year.</w:t>
      </w:r>
    </w:p>
    <w:bookmarkEnd w:id="15"/>
    <w:bookmarkStart w:id="16" w:name="chiropractic-care"/>
    <w:p>
      <w:pPr>
        <w:pStyle w:val="Heading3"/>
      </w:pPr>
      <w:r>
        <w:t xml:space="preserve">Chiropractic care</w:t>
      </w:r>
    </w:p>
    <w:p>
      <w:pPr>
        <w:pStyle w:val="FirstParagraph"/>
      </w:pPr>
      <w:r>
        <w:t xml:space="preserve">Spinal manipulation and related treatment by a licensed chiropractor is covered at the office visit share for your option. You may see a chiropractor in the network without a prescription from another doctor.</w:t>
      </w:r>
    </w:p>
    <w:bookmarkEnd w:id="16"/>
    <w:bookmarkStart w:id="17" w:name="hospital-care"/>
    <w:p>
      <w:pPr>
        <w:pStyle w:val="Heading3"/>
      </w:pPr>
      <w:r>
        <w:t xml:space="preserve">Hospital care</w:t>
      </w:r>
    </w:p>
    <w:p>
      <w:pPr>
        <w:pStyle w:val="FirstParagraph"/>
      </w:pPr>
      <w:r>
        <w:t xml:space="preserve">Inpatient stays, surgery and outpatient procedures at a hospital or surgical center are covered. On both options the plan pays 80 percent in network and 60 percent out of network, after the deductible. A planned inpatient stay needs approval before admission, which the hospital asks for on your behalf. Hospital care includes a semi-private room, and a private room is not covered unless the treating physician orders it.</w:t>
      </w:r>
    </w:p>
    <w:bookmarkEnd w:id="17"/>
    <w:bookmarkStart w:id="18" w:name="emergency-care"/>
    <w:p>
      <w:pPr>
        <w:pStyle w:val="Heading3"/>
      </w:pPr>
      <w:r>
        <w:t xml:space="preserve">Emergency care</w:t>
      </w:r>
    </w:p>
    <w:p>
      <w:pPr>
        <w:pStyle w:val="FirstParagraph"/>
      </w:pPr>
      <w:r>
        <w:t xml:space="preserve">Care in a hospital emergency room, and at an urgent care center, is covered. Emergency room care is paid at the in-network share after the deductible, whether or not the hospital is in the network, and you do not need approval before you go.</w:t>
      </w:r>
    </w:p>
    <w:bookmarkEnd w:id="18"/>
    <w:bookmarkStart w:id="19" w:name="prescription-drugs"/>
    <w:p>
      <w:pPr>
        <w:pStyle w:val="Heading3"/>
      </w:pPr>
      <w:r>
        <w:t xml:space="preserve">Prescription drugs</w:t>
      </w:r>
    </w:p>
    <w:p>
      <w:pPr>
        <w:pStyle w:val="FirstParagraph"/>
      </w:pPr>
      <w:r>
        <w:t xml:space="preserve">Drugs on the plan’s formulary, which is shown in the HRIS, are covered from a retail or mail-order pharmacy. On the Choice PPO option the plan pays 80 percent of the cost of a formulary drug. On the Saver HSA option the plan pays 80 percent after the deductible, except that preventive drugs on the formulary are paid at 100 percent. Prescription drugs that are not on the formulary are not covered unless they are approved through the exception process in section 7.</w:t>
      </w:r>
    </w:p>
    <w:bookmarkEnd w:id="19"/>
    <w:bookmarkEnd w:id="20"/>
    <w:bookmarkStart w:id="21" w:name="exclusions-and-limitations"/>
    <w:p>
      <w:pPr>
        <w:pStyle w:val="Heading2"/>
      </w:pPr>
      <w:r>
        <w:t xml:space="preserve">5. Exclusions and Limitations</w:t>
      </w:r>
    </w:p>
    <w:p>
      <w:pPr>
        <w:pStyle w:val="FirstParagraph"/>
      </w:pPr>
      <w:r>
        <w:t xml:space="preserve">This section collects the exclusions and limitations of the plan. Each applies to you and to every dependent you cover, on both options, in network and out of network.</w:t>
      </w:r>
    </w:p>
    <w:p>
      <w:pPr>
        <w:pStyle w:val="BodyText"/>
      </w:pPr>
      <w:r>
        <w:t xml:space="preserve">Physical therapy is limited to 30 visits per plan year.</w:t>
      </w:r>
    </w:p>
    <w:p>
      <w:pPr>
        <w:pStyle w:val="BodyText"/>
      </w:pPr>
      <w:r>
        <w:t xml:space="preserve">Hospital care includes a semi-private room, and a private room is not covered unless the treating physician orders it.</w:t>
      </w:r>
    </w:p>
    <w:p>
      <w:pPr>
        <w:pStyle w:val="BodyText"/>
      </w:pPr>
      <w:r>
        <w:t xml:space="preserve">Cosmetic procedures are excluded.</w:t>
      </w:r>
    </w:p>
    <w:p>
      <w:pPr>
        <w:pStyle w:val="BodyText"/>
      </w:pPr>
      <w:r>
        <w:t xml:space="preserve">Experimental or investigational treatment is not covered.</w:t>
      </w:r>
    </w:p>
    <w:bookmarkEnd w:id="21"/>
    <w:bookmarkStart w:id="22" w:name="coverage-during-leave"/>
    <w:p>
      <w:pPr>
        <w:pStyle w:val="Heading2"/>
      </w:pPr>
      <w:r>
        <w:t xml:space="preserve">6. Coverage During Leave</w:t>
      </w:r>
    </w:p>
    <w:p>
      <w:pPr>
        <w:pStyle w:val="FirstParagraph"/>
      </w:pPr>
      <w:r>
        <w:t xml:space="preserve">While you are on an approved leave and still receive pay, your coverage continues and your share of the premium is deducted from your pay as usual. If your leave is unpaid, or your paid leave is exhausted, coverage may continue for the duration of the approved leave, and you pay your share of the premium directly to People Operations by the fifth day of each month for which you want coverage. If a payment is more than 30 days late, coverage may lapse, and the Company will send you written notice at least 15 days before the date it would end. Coverage that lapses for non-payment is not reinstated until the next open enrollment or qualifying life event.</w:t>
      </w:r>
    </w:p>
    <w:bookmarkEnd w:id="22"/>
    <w:bookmarkStart w:id="23" w:name="claims-and-appeals"/>
    <w:p>
      <w:pPr>
        <w:pStyle w:val="Heading2"/>
      </w:pPr>
      <w:r>
        <w:t xml:space="preserve">7. Claims and Appeals</w:t>
      </w:r>
    </w:p>
    <w:p>
      <w:pPr>
        <w:pStyle w:val="FirstParagraph"/>
      </w:pPr>
      <w:r>
        <w:t xml:space="preserve">A provider in the network files claims for you. For care out of network, you submit a claim in the HRIS within 12 months of the date of service, with the provider’s itemized bill. The plan counts visits against each visit cap in the order claims are processed. Chiropractic care is limited to 20 visits per plan year, and a claim for any visit after the twentieth is denied.</w:t>
      </w:r>
    </w:p>
    <w:p>
      <w:pPr>
        <w:pStyle w:val="BodyText"/>
      </w:pPr>
      <w:r>
        <w:t xml:space="preserve">If a claim is denied, you receive a written explanation of the reasons and of how to appeal. You may appeal within 180 days, and the claims reviewer named on the certificate of coverage decides the appeal within 60 days.</w:t>
      </w:r>
    </w:p>
    <w:p>
      <w:pPr>
        <w:pStyle w:val="BodyText"/>
      </w:pPr>
      <w:r>
        <w:t xml:space="preserve">The exception process applies to a drug that is not on the formulary. Your doctor asks for an exception by explaining why a formulary drug is not suitable for you, and you receive a decision within 72 hours, or within 24 hours when your doctor says the need is urgent.</w:t>
      </w:r>
    </w:p>
    <w:bookmarkEnd w:id="23"/>
    <w:bookmarkStart w:id="24" w:name="plan-administration"/>
    <w:p>
      <w:pPr>
        <w:pStyle w:val="Heading2"/>
      </w:pPr>
      <w:r>
        <w:t xml:space="preserve">8. Plan Administration</w:t>
      </w:r>
    </w:p>
    <w:p>
      <w:pPr>
        <w:pStyle w:val="FirstParagraph"/>
      </w:pPr>
      <w:r>
        <w:t xml:space="preserve">Atticus Dundee Inc. is the plan administrator and may amend or end the plan. The medical, dental and vision, and life coverages are insured under group policies placed and administered through Millgate Insurance Services, and the insurer for each coverage is named on the certificate of coverage in the HRIS. Your certificate of coverage, the network directory and the formulary are held in the HRIS with this document, and the certificate of coverage governs if it differs from this summary.</w:t>
      </w:r>
    </w:p>
    <w:p>
      <w:pPr>
        <w:pStyle w:val="BodyText"/>
      </w:pPr>
      <w:r>
        <w:t xml:space="preserve">Aviso: Este documento contiene información importante sobre sus beneficios en Atticus Dundee Inc. Si necesita ayuda en español, escriba a peopleops@atticusdundee.example.</w:t>
      </w:r>
    </w:p>
    <w:bookmarkEnd w:id="24"/>
    <w:bookmarkStart w:id="25" w:name="version-history"/>
    <w:p>
      <w:pPr>
        <w:pStyle w:val="Heading2"/>
      </w:pPr>
      <w:r>
        <w:t xml:space="preserve">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w:t>
            </w:r>
          </w:p>
        </w:tc>
        <w:tc>
          <w:tcPr/>
          <w:p>
            <w:pPr>
              <w:pStyle w:val="Compact"/>
            </w:pPr>
            <w:r>
              <w:t xml:space="preserve">Approved By</w:t>
            </w:r>
          </w:p>
        </w:tc>
      </w:tr>
      <w:tr>
        <w:tc>
          <w:tcPr/>
          <w:p>
            <w:pPr>
              <w:pStyle w:val="Compact"/>
            </w:pPr>
            <w:r>
              <w:t xml:space="preserve">1.0</w:t>
            </w:r>
          </w:p>
        </w:tc>
        <w:tc>
          <w:tcPr/>
          <w:p>
            <w:pPr>
              <w:pStyle w:val="Compact"/>
            </w:pPr>
            <w:r>
              <w:t xml:space="preserve">2024-07-01</w:t>
            </w:r>
          </w:p>
        </w:tc>
        <w:tc>
          <w:tcPr/>
          <w:p>
            <w:pPr>
              <w:pStyle w:val="Compact"/>
            </w:pPr>
            <w:r>
              <w:t xml:space="preserve">Summary plan description issued for the benefits plan library.</w:t>
            </w:r>
          </w:p>
        </w:tc>
        <w:tc>
          <w:tcPr/>
          <w:p>
            <w:pPr>
              <w:pStyle w:val="Compact"/>
            </w:pPr>
            <w:r>
              <w:t xml:space="preserve">Priya Raghunathan</w:t>
            </w:r>
          </w:p>
        </w:tc>
      </w:tr>
      <w:tr>
        <w:tc>
          <w:tcPr/>
          <w:p>
            <w:pPr>
              <w:pStyle w:val="Compact"/>
            </w:pPr>
            <w:r>
              <w:t xml:space="preserve">2.0</w:t>
            </w:r>
          </w:p>
        </w:tc>
        <w:tc>
          <w:tcPr/>
          <w:p>
            <w:pPr>
              <w:pStyle w:val="Compact"/>
            </w:pPr>
            <w:r>
              <w:t xml:space="preserve">2025-01-01</w:t>
            </w:r>
          </w:p>
        </w:tc>
        <w:tc>
          <w:tcPr/>
          <w:p>
            <w:pPr>
              <w:pStyle w:val="Compact"/>
            </w:pPr>
            <w:r>
              <w:t xml:space="preserve">Reissued for the 2025 plan year.</w:t>
            </w:r>
          </w:p>
        </w:tc>
        <w:tc>
          <w:tcPr/>
          <w:p>
            <w:pPr>
              <w:pStyle w:val="Compact"/>
            </w:pPr>
            <w:r>
              <w:t xml:space="preserve">Priya Raghunathan</w:t>
            </w:r>
          </w:p>
        </w:tc>
      </w:tr>
      <w:tr>
        <w:tc>
          <w:tcPr/>
          <w:p>
            <w:pPr>
              <w:pStyle w:val="Compact"/>
            </w:pPr>
            <w:r>
              <w:t xml:space="preserve">3.0</w:t>
            </w:r>
          </w:p>
        </w:tc>
        <w:tc>
          <w:tcPr/>
          <w:p>
            <w:pPr>
              <w:pStyle w:val="Compact"/>
            </w:pPr>
            <w:r>
              <w:t xml:space="preserve">2026-01-01</w:t>
            </w:r>
          </w:p>
        </w:tc>
        <w:tc>
          <w:tcPr/>
          <w:p>
            <w:pPr>
              <w:pStyle w:val="Compact"/>
            </w:pPr>
            <w:r>
              <w:t xml:space="preserve">Reissued for the 2026 plan year.</w:t>
            </w:r>
          </w:p>
        </w:tc>
        <w:tc>
          <w:tcPr/>
          <w:p>
            <w:pPr>
              <w:pStyle w:val="Compact"/>
            </w:pPr>
            <w:r>
              <w:t xml:space="preserve">Priya Raghunathan</w:t>
            </w:r>
          </w:p>
        </w:tc>
      </w:tr>
    </w:tbl>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2026-09-23T18:22:05Z</dcterms:created>
  <dcterms:modified xsi:type="dcterms:W3CDTF">2026-09-23T18:22:05Z</dcterms:modified>
</cp:coreProperties>
</file>

<file path=docProps/custom.xml><?xml version="1.0" encoding="utf-8"?>
<Properties xmlns="http://schemas.openxmlformats.org/officeDocument/2006/custom-properties" xmlns:vt="http://schemas.openxmlformats.org/officeDocument/2006/docPropsVTypes"/>
</file>