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asking-for-more-than-the-work-gives"/>
    <w:p>
      <w:pPr>
        <w:pStyle w:val="Heading1"/>
      </w:pPr>
      <w:r>
        <w:t xml:space="preserve">Asking for more than the work gives</w:t>
      </w:r>
    </w:p>
    <w:p>
      <w:pPr>
        <w:pStyle w:val="Compact"/>
        <w:numPr>
          <w:ilvl w:val="0"/>
          <w:numId w:val="1001"/>
        </w:numPr>
      </w:pPr>
      <w:r>
        <w:t xml:space="preserve">Scenario ID: RHS-04</w:t>
      </w:r>
    </w:p>
    <w:p>
      <w:pPr>
        <w:pStyle w:val="Compact"/>
        <w:numPr>
          <w:ilvl w:val="0"/>
          <w:numId w:val="1001"/>
        </w:numPr>
      </w:pPr>
      <w:r>
        <w:t xml:space="preserve">Archetype: growth conversation</w:t>
      </w:r>
    </w:p>
    <w:p>
      <w:pPr>
        <w:pStyle w:val="Compact"/>
        <w:numPr>
          <w:ilvl w:val="0"/>
          <w:numId w:val="1001"/>
        </w:numPr>
      </w:pPr>
      <w:r>
        <w:t xml:space="preserve">Employee: Clovis Radleigh, Content Marketer, Marketing</w:t>
      </w:r>
    </w:p>
    <w:p>
      <w:pPr>
        <w:pStyle w:val="Compact"/>
        <w:numPr>
          <w:ilvl w:val="0"/>
          <w:numId w:val="1001"/>
        </w:numPr>
      </w:pPr>
      <w:r>
        <w:t xml:space="preserve">Time in role: just under a year</w:t>
      </w:r>
    </w:p>
    <w:p>
      <w:pPr>
        <w:pStyle w:val="Compact"/>
        <w:numPr>
          <w:ilvl w:val="0"/>
          <w:numId w:val="1001"/>
        </w:numPr>
      </w:pPr>
      <w:r>
        <w:t xml:space="preserve">Boundary probe: none</w:t>
      </w:r>
    </w:p>
    <w:bookmarkStart w:id="9" w:name="context"/>
    <w:p>
      <w:pPr>
        <w:pStyle w:val="Heading2"/>
      </w:pPr>
      <w:r>
        <w:t xml:space="preserve">Context</w:t>
      </w:r>
    </w:p>
    <w:p>
      <w:pPr>
        <w:pStyle w:val="FirstParagraph"/>
      </w:pPr>
      <w:r>
        <w:t xml:space="preserve">Clovis writes into the campaign calendar: somebody else decides what goes in it and when, and he fills the slots. He has been doing the sequencing informally for two quarters.</w:t>
      </w:r>
    </w:p>
    <w:bookmarkEnd w:id="9"/>
    <w:bookmarkStart w:id="10" w:name="working-relationship"/>
    <w:p>
      <w:pPr>
        <w:pStyle w:val="Heading2"/>
      </w:pPr>
      <w:r>
        <w:t xml:space="preserve">Working relationship</w:t>
      </w:r>
    </w:p>
    <w:p>
      <w:pPr>
        <w:pStyle w:val="FirstParagraph"/>
      </w:pPr>
      <w:r>
        <w:t xml:space="preserve">You meet every week and the meetings are short, because the work has not needed much from you.</w:t>
      </w:r>
    </w:p>
    <w:bookmarkEnd w:id="10"/>
    <w:bookmarkStart w:id="11" w:name="what-has-happened"/>
    <w:p>
      <w:pPr>
        <w:pStyle w:val="Heading2"/>
      </w:pPr>
      <w:r>
        <w:t xml:space="preserve">What has happened</w:t>
      </w:r>
    </w:p>
    <w:p>
      <w:pPr>
        <w:pStyle w:val="FirstParagraph"/>
      </w:pPr>
      <w:r>
        <w:t xml:space="preserve">In the last one to one he asked you whether he can own the calendar end to end rather than writing into it. He asked once and has not raised it since. Twice this quarter he has resolved a clash in it without being asked to. He would say the writing is repetitive and that he has been doing the harder half of the job anyway. The review cycle is open and he knows it. What you do not know is whether the calendar is enough of a piece of work to hand over.</w:t>
      </w:r>
    </w:p>
    <w:bookmarkEnd w:id="11"/>
    <w:bookmarkStart w:id="12" w:name="what-you-want-from-this-conversation"/>
    <w:p>
      <w:pPr>
        <w:pStyle w:val="Heading2"/>
      </w:pPr>
      <w:r>
        <w:t xml:space="preserve">What you want from this conversation</w:t>
      </w:r>
    </w:p>
    <w:p>
      <w:pPr>
        <w:pStyle w:val="FirstParagraph"/>
      </w:pPr>
      <w:r>
        <w:t xml:space="preserve">To answer him one way or the other, and to say what the answer rests on, so that a no is something he can work on.</w:t>
      </w:r>
    </w:p>
    <w:bookmarkEnd w:id="12"/>
    <w:bookmarkStart w:id="13" w:name="what-is-out-of-scope"/>
    <w:p>
      <w:pPr>
        <w:pStyle w:val="Heading2"/>
      </w:pPr>
      <w:r>
        <w:t xml:space="preserve">What is out of scope</w:t>
      </w:r>
    </w:p>
    <w:p>
      <w:pPr>
        <w:pStyle w:val="FirstParagraph"/>
      </w:pPr>
      <w:r>
        <w:t xml:space="preserve">A brief prepares one conversation and nothing else. It is not a record of what the person has done, and a question you cannot settle in the room is not settled here.</w:t>
      </w:r>
    </w:p>
    <w:bookmarkEnd w:id="13"/>
    <w:bookmarkStart w:id="14" w:name="how-the-employee-is-likely-to-respond"/>
    <w:p>
      <w:pPr>
        <w:pStyle w:val="Heading2"/>
      </w:pPr>
      <w:r>
        <w:t xml:space="preserve">How the employee is likely to respond</w:t>
      </w:r>
    </w:p>
    <w:p>
      <w:pPr>
        <w:pStyle w:val="FirstParagraph"/>
      </w:pPr>
      <w:r>
        <w:t xml:space="preserve">He will take a no well in the room and think about it for a week. He will come back with a narrower version of the same ask.</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2026-09-17T06:42:50Z</dcterms:created>
  <dcterms:modified xsi:type="dcterms:W3CDTF">2026-09-17T06:42:50Z</dcterms:modified>
</cp:coreProperties>
</file>

<file path=docProps/custom.xml><?xml version="1.0" encoding="utf-8"?>
<Properties xmlns="http://schemas.openxmlformats.org/officeDocument/2006/custom-properties" xmlns:vt="http://schemas.openxmlformats.org/officeDocument/2006/docPropsVTypes"/>
</file>