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70671b965b5448c7289a890b10153c0e5842492"/>
    <w:p>
      <w:pPr>
        <w:pStyle w:val="Heading1"/>
      </w:pPr>
      <w:r>
        <w:t xml:space="preserve">Intake brief: Demand Generation Specialist</w:t>
      </w:r>
    </w:p>
    <w:p>
      <w:pPr>
        <w:pStyle w:val="Compact"/>
        <w:numPr>
          <w:ilvl w:val="0"/>
          <w:numId w:val="1001"/>
        </w:numPr>
      </w:pPr>
      <w:r>
        <w:t xml:space="preserve">Requisition ID: RQN-2026-0107</w:t>
      </w:r>
    </w:p>
    <w:p>
      <w:pPr>
        <w:pStyle w:val="Compact"/>
        <w:numPr>
          <w:ilvl w:val="0"/>
          <w:numId w:val="1001"/>
        </w:numPr>
      </w:pPr>
      <w:r>
        <w:t xml:space="preserve">Requisition title: Demand Generation Specialist</w:t>
      </w:r>
    </w:p>
    <w:p>
      <w:pPr>
        <w:pStyle w:val="Compact"/>
        <w:numPr>
          <w:ilvl w:val="0"/>
          <w:numId w:val="1001"/>
        </w:numPr>
      </w:pPr>
      <w:r>
        <w:t xml:space="preserve">Department: Marketing</w:t>
      </w:r>
    </w:p>
    <w:p>
      <w:pPr>
        <w:pStyle w:val="Compact"/>
        <w:numPr>
          <w:ilvl w:val="0"/>
          <w:numId w:val="1001"/>
        </w:numPr>
      </w:pPr>
      <w:r>
        <w:t xml:space="preserve">Level: IC</w:t>
      </w:r>
    </w:p>
    <w:p>
      <w:pPr>
        <w:pStyle w:val="Compact"/>
        <w:numPr>
          <w:ilvl w:val="0"/>
          <w:numId w:val="1001"/>
        </w:numPr>
      </w:pPr>
      <w:r>
        <w:t xml:space="preserve">Hiring manager: Merritt Oakhurst (Marketing Manager)</w:t>
      </w:r>
    </w:p>
    <w:p>
      <w:pPr>
        <w:pStyle w:val="Compact"/>
        <w:numPr>
          <w:ilvl w:val="0"/>
          <w:numId w:val="1001"/>
        </w:numPr>
      </w:pPr>
      <w:r>
        <w:t xml:space="preserve">Recruiter: Wystan Marchbanks (Recruiter)</w:t>
      </w:r>
    </w:p>
    <w:p>
      <w:pPr>
        <w:pStyle w:val="Compact"/>
        <w:numPr>
          <w:ilvl w:val="0"/>
          <w:numId w:val="1001"/>
        </w:numPr>
      </w:pPr>
      <w:r>
        <w:t xml:space="preserve">Date raised: 2026-03-12</w:t>
      </w:r>
    </w:p>
    <w:p>
      <w:pPr>
        <w:pStyle w:val="Compact"/>
        <w:numPr>
          <w:ilvl w:val="0"/>
          <w:numId w:val="1001"/>
        </w:numPr>
      </w:pPr>
      <w:r>
        <w:t xml:space="preserve">Target start date: 2026-05-11</w:t>
      </w:r>
    </w:p>
    <w:p>
      <w:pPr>
        <w:pStyle w:val="Compact"/>
        <w:numPr>
          <w:ilvl w:val="0"/>
          <w:numId w:val="1001"/>
        </w:numPr>
      </w:pPr>
      <w:r>
        <w:t xml:space="preserve">Openings: 1</w:t>
      </w:r>
    </w:p>
    <w:p>
      <w:pPr>
        <w:pStyle w:val="Compact"/>
        <w:numPr>
          <w:ilvl w:val="0"/>
          <w:numId w:val="1001"/>
        </w:numPr>
      </w:pPr>
      <w:r>
        <w:t xml:space="preserve">Status: open</w:t>
      </w:r>
    </w:p>
    <w:bookmarkStart w:id="9" w:name="why-this-role-exists"/>
    <w:p>
      <w:pPr>
        <w:pStyle w:val="Heading2"/>
      </w:pPr>
      <w:r>
        <w:t xml:space="preserve">Why this role exists</w:t>
      </w:r>
    </w:p>
    <w:p>
      <w:pPr>
        <w:pStyle w:val="FirstParagraph"/>
      </w:pPr>
      <w:r>
        <w:t xml:space="preserve">Campaign work in this group is planned well and measured late, which means the team learns what worked about a quarter after it could have acted on it. This seat owns the loop between the two: the plan, the instrumentation that has to exist before launch, and the read that goes back to the planners while the next campaign is still moveable. It sits inside the group rather than in a shared services function so that the person who measures a campaign is in the room when it is designed.</w:t>
      </w:r>
    </w:p>
    <w:bookmarkEnd w:id="9"/>
    <w:bookmarkStart w:id="10" w:name="requirements"/>
    <w:p>
      <w:pPr>
        <w:pStyle w:val="Heading2"/>
      </w:pPr>
      <w:r>
        <w:t xml:space="preserve">Requirements</w:t>
      </w:r>
    </w:p>
    <w:p>
      <w:pPr>
        <w:pStyle w:val="FirstParagraph"/>
      </w:pPr>
      <w:r>
        <w:t xml:space="preserve">We are looking for somebody who treats measurement as part of the campaign rather than as a report about it. In practice that means a candidate who insists on knowing what the campaign is supposed to change before agreeing to run it, and who has walked away from a launch that could not be read. The person we hire will have owned a channel end to end, will be able to describe a campaign that underperformed and what they learned rather than what they blamed, and will be at ease writing for an audience that includes a sales owner and a product owner in the same thread. We work closely with the Sales department here and the handover of an inbound conversation is a recurring source of friction, so we will ask directly how a candidate has handled that relationship before. Channel background is open. The habit of instrumenting before launching is not.</w:t>
      </w:r>
    </w:p>
    <w:bookmarkEnd w:id="10"/>
    <w:bookmarkStart w:id="11" w:name="nice-to-have"/>
    <w:p>
      <w:pPr>
        <w:pStyle w:val="Heading2"/>
      </w:pPr>
      <w:r>
        <w:t xml:space="preserve">Nice to have</w:t>
      </w:r>
    </w:p>
    <w:p>
      <w:pPr>
        <w:pStyle w:val="FirstParagraph"/>
      </w:pPr>
      <w:r>
        <w:t xml:space="preserve">Experience with lifecycle or nurture programs, or with running an event where the follow up mattered more than the room, would both be useful. Somebody who has built a shared definition of a qualified conversation with a sales team, and made it stick, should say so early in the process.</w:t>
      </w:r>
    </w:p>
    <w:bookmarkEnd w:id="11"/>
    <w:bookmarkStart w:id="12" w:name="competencies"/>
    <w:p>
      <w:pPr>
        <w:pStyle w:val="Heading2"/>
      </w:pPr>
      <w:r>
        <w:t xml:space="preserve">Competencies</w:t>
      </w:r>
    </w:p>
    <w:p>
      <w:pPr>
        <w:pStyle w:val="Compact"/>
        <w:numPr>
          <w:ilvl w:val="0"/>
          <w:numId w:val="1002"/>
        </w:numPr>
      </w:pPr>
      <w:r>
        <w:t xml:space="preserve">Written communication (CMP-04)</w:t>
      </w:r>
    </w:p>
    <w:p>
      <w:pPr>
        <w:pStyle w:val="Compact"/>
        <w:numPr>
          <w:ilvl w:val="0"/>
          <w:numId w:val="1002"/>
        </w:numPr>
      </w:pPr>
      <w:r>
        <w:t xml:space="preserve">Customer empathy (CMP-06)</w:t>
      </w:r>
    </w:p>
    <w:p>
      <w:pPr>
        <w:pStyle w:val="Compact"/>
        <w:numPr>
          <w:ilvl w:val="0"/>
          <w:numId w:val="1002"/>
        </w:numPr>
      </w:pPr>
      <w:r>
        <w:t xml:space="preserve">Data literacy (CMP-08)</w:t>
      </w:r>
    </w:p>
    <w:p>
      <w:pPr>
        <w:pStyle w:val="Compact"/>
        <w:numPr>
          <w:ilvl w:val="0"/>
          <w:numId w:val="1002"/>
        </w:numPr>
      </w:pPr>
      <w:r>
        <w:t xml:space="preserve">Commercial judgment (CMP-11)</w:t>
      </w:r>
    </w:p>
    <w:bookmarkEnd w:id="12"/>
    <w:bookmarkStart w:id="13" w:name="interview-loop"/>
    <w:p>
      <w:pPr>
        <w:pStyle w:val="Heading2"/>
      </w:pPr>
      <w:r>
        <w:t xml:space="preserve">Interview loop</w:t>
      </w:r>
    </w:p>
    <w:p>
      <w:pPr>
        <w:pStyle w:val="FirstParagraph"/>
      </w:pPr>
      <w:r>
        <w:t xml:space="preserve">Three conversations, with a campaign teardown as the working session in the middle.</w:t>
      </w:r>
    </w:p>
    <w:p>
      <w:pPr>
        <w:pStyle w:val="Compact"/>
        <w:numPr>
          <w:ilvl w:val="0"/>
          <w:numId w:val="1003"/>
        </w:numPr>
      </w:pPr>
      <w:r>
        <w:t xml:space="preserve">Recruiter, a screen on motivation, channel history and logistics</w:t>
      </w:r>
    </w:p>
    <w:p>
      <w:pPr>
        <w:pStyle w:val="Compact"/>
        <w:numPr>
          <w:ilvl w:val="0"/>
          <w:numId w:val="1003"/>
        </w:numPr>
      </w:pPr>
      <w:r>
        <w:t xml:space="preserve">Marketing Manager, the campaign teardown and the measurement conversation</w:t>
      </w:r>
    </w:p>
    <w:p>
      <w:pPr>
        <w:pStyle w:val="Compact"/>
        <w:numPr>
          <w:ilvl w:val="0"/>
          <w:numId w:val="1003"/>
        </w:numPr>
      </w:pPr>
      <w:r>
        <w:t xml:space="preserve">Sales Manager, the handover conversation from the receiving side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2026-09-07T16:50:52Z</dcterms:created>
  <dcterms:modified xsi:type="dcterms:W3CDTF">2026-09-07T16:50:52Z</dcterms:modified>
</cp:coreProperties>
</file>

<file path=docProps/custom.xml><?xml version="1.0" encoding="utf-8"?>
<Properties xmlns="http://schemas.openxmlformats.org/officeDocument/2006/custom-properties" xmlns:vt="http://schemas.openxmlformats.org/officeDocument/2006/docPropsVTypes"/>
</file>