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 w:name="program-knowledge-corpus"/>
    <w:p>
      <w:pPr>
        <w:pStyle w:val="Heading1"/>
      </w:pPr>
      <w:r>
        <w:t xml:space="preserve">Program knowledge corpus</w:t>
      </w:r>
    </w:p>
    <w:p>
      <w:pPr>
        <w:pStyle w:val="FirstParagraph"/>
      </w:pPr>
      <w:r>
        <w:t xml:space="preserve">This corpus is the assembled record of one program at Atticus Dundee Inc., the customer onboarding revamp. It holds the program’s own primary sources together with one synthesis written from them, so that a question about the program can be answered from something written down rather than from somebody’s memory of it.</w:t>
      </w:r>
    </w:p>
    <w:p>
      <w:pPr>
        <w:pStyle w:val="BodyText"/>
      </w:pPr>
      <w:r>
        <w:t xml:space="preserve">Every source in this corpus has a row in the register below. The register is where a source’s id, its date and the way it is cited are recorded, because the sources themselves are frozen copies and cannot carry that metadata inside them. A claim taken from this corpus names one source id and one locator, and the locator is read under the scheme that source’s register row gives.</w:t>
      </w:r>
    </w:p>
    <w:p>
      <w:pPr>
        <w:pStyle w:val="BodyText"/>
      </w:pPr>
      <w:r>
        <w:t xml:space="preserve">As of: 2026-03-31</w:t>
      </w:r>
    </w:p>
    <w:bookmarkStart w:id="9" w:name="source-register"/>
    <w:p>
      <w:pPr>
        <w:pStyle w:val="Heading2"/>
      </w:pPr>
      <w:r>
        <w:t xml:space="preserve">Source register</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source_id</w:t>
            </w:r>
          </w:p>
        </w:tc>
        <w:tc>
          <w:tcPr/>
          <w:p>
            <w:pPr>
              <w:pStyle w:val="Compact"/>
            </w:pPr>
            <w:r>
              <w:t xml:space="preserve">title</w:t>
            </w:r>
          </w:p>
        </w:tc>
        <w:tc>
          <w:tcPr/>
          <w:p>
            <w:pPr>
              <w:pStyle w:val="Compact"/>
            </w:pPr>
            <w:r>
              <w:t xml:space="preserve">file</w:t>
            </w:r>
          </w:p>
        </w:tc>
        <w:tc>
          <w:tcPr/>
          <w:p>
            <w:pPr>
              <w:pStyle w:val="Compact"/>
            </w:pPr>
            <w:r>
              <w:t xml:space="preserve">date</w:t>
            </w:r>
          </w:p>
        </w:tc>
        <w:tc>
          <w:tcPr/>
          <w:p>
            <w:pPr>
              <w:pStyle w:val="Compact"/>
            </w:pPr>
            <w:r>
              <w:t xml:space="preserve">locator scheme</w:t>
            </w:r>
          </w:p>
        </w:tc>
      </w:tr>
      <w:tr>
        <w:tc>
          <w:tcPr/>
          <w:p>
            <w:pPr>
              <w:pStyle w:val="Compact"/>
            </w:pPr>
            <w:r>
              <w:t xml:space="preserve">KB-01</w:t>
            </w:r>
          </w:p>
        </w:tc>
        <w:tc>
          <w:tcPr/>
          <w:p>
            <w:pPr>
              <w:pStyle w:val="Compact"/>
            </w:pPr>
            <w:r>
              <w:t xml:space="preserve">delivery sync transcript</w:t>
            </w:r>
          </w:p>
        </w:tc>
        <w:tc>
          <w:tcPr/>
          <w:p>
            <w:pPr>
              <w:pStyle w:val="Compact"/>
            </w:pPr>
            <w:r>
              <w:t xml:space="preserve">meeting-transcript-with-commitments.md</w:t>
            </w:r>
          </w:p>
        </w:tc>
        <w:tc>
          <w:tcPr/>
          <w:p>
            <w:pPr>
              <w:pStyle w:val="Compact"/>
            </w:pPr>
            <w:r>
              <w:t xml:space="preserve">2026-03-10</w:t>
            </w:r>
          </w:p>
        </w:tc>
        <w:tc>
          <w:tcPr/>
          <w:p>
            <w:pPr>
              <w:pStyle w:val="Compact"/>
            </w:pPr>
            <w:r>
              <w:t xml:space="preserve">cue timestamp, as printed at the head of a cue line</w:t>
            </w:r>
          </w:p>
        </w:tc>
      </w:tr>
      <w:tr>
        <w:tc>
          <w:tcPr/>
          <w:p>
            <w:pPr>
              <w:pStyle w:val="Compact"/>
            </w:pPr>
            <w:r>
              <w:t xml:space="preserve">KB-02</w:t>
            </w:r>
          </w:p>
        </w:tc>
        <w:tc>
          <w:tcPr/>
          <w:p>
            <w:pPr>
              <w:pStyle w:val="Compact"/>
            </w:pPr>
            <w:r>
              <w:t xml:space="preserve">team retro notes</w:t>
            </w:r>
          </w:p>
        </w:tc>
        <w:tc>
          <w:tcPr/>
          <w:p>
            <w:pPr>
              <w:pStyle w:val="Compact"/>
            </w:pPr>
            <w:r>
              <w:t xml:space="preserve">retro-transcript-with-recurring-finding.md</w:t>
            </w:r>
          </w:p>
        </w:tc>
        <w:tc>
          <w:tcPr/>
          <w:p>
            <w:pPr>
              <w:pStyle w:val="Compact"/>
            </w:pPr>
            <w:r>
              <w:t xml:space="preserve">2026-03-27</w:t>
            </w:r>
          </w:p>
        </w:tc>
        <w:tc>
          <w:tcPr/>
          <w:p>
            <w:pPr>
              <w:pStyle w:val="Compact"/>
            </w:pPr>
            <w:r>
              <w:t xml:space="preserve">cue timestamp, as printed at the head of a cue line</w:t>
            </w:r>
          </w:p>
        </w:tc>
      </w:tr>
      <w:tr>
        <w:tc>
          <w:tcPr/>
          <w:p>
            <w:pPr>
              <w:pStyle w:val="Compact"/>
            </w:pPr>
            <w:r>
              <w:t xml:space="preserve">KB-03</w:t>
            </w:r>
          </w:p>
        </w:tc>
        <w:tc>
          <w:tcPr/>
          <w:p>
            <w:pPr>
              <w:pStyle w:val="Compact"/>
            </w:pPr>
            <w:r>
              <w:t xml:space="preserve">region go-live sign-off SOP</w:t>
            </w:r>
          </w:p>
        </w:tc>
        <w:tc>
          <w:tcPr/>
          <w:p>
            <w:pPr>
              <w:pStyle w:val="Compact"/>
            </w:pPr>
            <w:r>
              <w:t xml:space="preserve">sop-with-unnamed-approver.md</w:t>
            </w:r>
          </w:p>
        </w:tc>
        <w:tc>
          <w:tcPr/>
          <w:p>
            <w:pPr>
              <w:pStyle w:val="Compact"/>
            </w:pPr>
            <w:r>
              <w:t xml:space="preserve">2026-03-20</w:t>
            </w:r>
          </w:p>
        </w:tc>
        <w:tc>
          <w:tcPr/>
          <w:p>
            <w:pPr>
              <w:pStyle w:val="Compact"/>
            </w:pPr>
            <w:r>
              <w:t xml:space="preserve">section or step heading, as printed</w:t>
            </w:r>
          </w:p>
        </w:tc>
      </w:tr>
      <w:tr>
        <w:tc>
          <w:tcPr/>
          <w:p>
            <w:pPr>
              <w:pStyle w:val="Compact"/>
            </w:pPr>
            <w:r>
              <w:t xml:space="preserve">KB-04</w:t>
            </w:r>
          </w:p>
        </w:tc>
        <w:tc>
          <w:tcPr/>
          <w:p>
            <w:pPr>
              <w:pStyle w:val="Compact"/>
            </w:pPr>
            <w:r>
              <w:t xml:space="preserve">program record, third quarter of 2025</w:t>
            </w:r>
          </w:p>
        </w:tc>
        <w:tc>
          <w:tcPr/>
          <w:p>
            <w:pPr>
              <w:pStyle w:val="Compact"/>
            </w:pPr>
            <w:r>
              <w:t xml:space="preserve">program-knowledge-corpus-history-2025-q3.md</w:t>
            </w:r>
          </w:p>
        </w:tc>
        <w:tc>
          <w:tcPr/>
          <w:p>
            <w:pPr>
              <w:pStyle w:val="Compact"/>
            </w:pPr>
            <w:r>
              <w:t xml:space="preserve">2025-09-30</w:t>
            </w:r>
          </w:p>
        </w:tc>
        <w:tc>
          <w:tcPr/>
          <w:p>
            <w:pPr>
              <w:pStyle w:val="Compact"/>
            </w:pPr>
            <w:r>
              <w:t xml:space="preserve">entry date, as printed in the entry heading</w:t>
            </w:r>
          </w:p>
        </w:tc>
      </w:tr>
      <w:tr>
        <w:tc>
          <w:tcPr/>
          <w:p>
            <w:pPr>
              <w:pStyle w:val="Compact"/>
            </w:pPr>
            <w:r>
              <w:t xml:space="preserve">KB-05</w:t>
            </w:r>
          </w:p>
        </w:tc>
        <w:tc>
          <w:tcPr/>
          <w:p>
            <w:pPr>
              <w:pStyle w:val="Compact"/>
            </w:pPr>
            <w:r>
              <w:t xml:space="preserve">program record, fourth quarter of 2025</w:t>
            </w:r>
          </w:p>
        </w:tc>
        <w:tc>
          <w:tcPr/>
          <w:p>
            <w:pPr>
              <w:pStyle w:val="Compact"/>
            </w:pPr>
            <w:r>
              <w:t xml:space="preserve">program-knowledge-corpus-history-2025-q4.md</w:t>
            </w:r>
          </w:p>
        </w:tc>
        <w:tc>
          <w:tcPr/>
          <w:p>
            <w:pPr>
              <w:pStyle w:val="Compact"/>
            </w:pPr>
            <w:r>
              <w:t xml:space="preserve">2025-12-31</w:t>
            </w:r>
          </w:p>
        </w:tc>
        <w:tc>
          <w:tcPr/>
          <w:p>
            <w:pPr>
              <w:pStyle w:val="Compact"/>
            </w:pPr>
            <w:r>
              <w:t xml:space="preserve">entry date, as printed in the entry heading</w:t>
            </w:r>
          </w:p>
        </w:tc>
      </w:tr>
      <w:tr>
        <w:tc>
          <w:tcPr/>
          <w:p>
            <w:pPr>
              <w:pStyle w:val="Compact"/>
            </w:pPr>
            <w:r>
              <w:t xml:space="preserve">KB-06</w:t>
            </w:r>
          </w:p>
        </w:tc>
        <w:tc>
          <w:tcPr/>
          <w:p>
            <w:pPr>
              <w:pStyle w:val="Compact"/>
            </w:pPr>
            <w:r>
              <w:t xml:space="preserve">program record, first quarter of 2026</w:t>
            </w:r>
          </w:p>
        </w:tc>
        <w:tc>
          <w:tcPr/>
          <w:p>
            <w:pPr>
              <w:pStyle w:val="Compact"/>
            </w:pPr>
            <w:r>
              <w:t xml:space="preserve">program-knowledge-corpus-history-2026-q1.md</w:t>
            </w:r>
          </w:p>
        </w:tc>
        <w:tc>
          <w:tcPr/>
          <w:p>
            <w:pPr>
              <w:pStyle w:val="Compact"/>
            </w:pPr>
            <w:r>
              <w:t xml:space="preserve">2026-03-31</w:t>
            </w:r>
          </w:p>
        </w:tc>
        <w:tc>
          <w:tcPr/>
          <w:p>
            <w:pPr>
              <w:pStyle w:val="Compact"/>
            </w:pPr>
            <w:r>
              <w:t xml:space="preserve">entry date, as printed in the entry heading</w:t>
            </w:r>
          </w:p>
        </w:tc>
      </w:tr>
      <w:tr>
        <w:tc>
          <w:tcPr/>
          <w:p>
            <w:pPr>
              <w:pStyle w:val="Compact"/>
            </w:pPr>
            <w:r>
              <w:t xml:space="preserve">KB-07</w:t>
            </w:r>
          </w:p>
        </w:tc>
        <w:tc>
          <w:tcPr/>
          <w:p>
            <w:pPr>
              <w:pStyle w:val="Compact"/>
            </w:pPr>
            <w:r>
              <w:t xml:space="preserve">program history overview</w:t>
            </w:r>
          </w:p>
        </w:tc>
        <w:tc>
          <w:tcPr/>
          <w:p>
            <w:pPr>
              <w:pStyle w:val="Compact"/>
            </w:pPr>
            <w:r>
              <w:t xml:space="preserve">program-knowledge-corpus-overview.md</w:t>
            </w:r>
          </w:p>
        </w:tc>
        <w:tc>
          <w:tcPr/>
          <w:p>
            <w:pPr>
              <w:pStyle w:val="Compact"/>
            </w:pPr>
            <w:r>
              <w:t xml:space="preserve">2026-03-31</w:t>
            </w:r>
          </w:p>
        </w:tc>
        <w:tc>
          <w:tcPr/>
          <w:p>
            <w:pPr>
              <w:pStyle w:val="Compact"/>
            </w:pPr>
            <w:r>
              <w:t xml:space="preserve">section heading, as printed</w:t>
            </w:r>
          </w:p>
        </w:tc>
      </w:tr>
    </w:tbl>
    <w:bookmarkEnd w:id="9"/>
    <w:bookmarkStart w:id="10" w:name="how-to-read-the-corpus"/>
    <w:p>
      <w:pPr>
        <w:pStyle w:val="Heading2"/>
      </w:pPr>
      <w:r>
        <w:t xml:space="preserve">How to read the corpus</w:t>
      </w:r>
    </w:p>
    <w:p>
      <w:pPr>
        <w:pStyle w:val="FirstParagraph"/>
      </w:pPr>
      <w:r>
        <w:t xml:space="preserve">KB-01, KB-02 and KB-03 are copies of the program’s own documents, byte for byte as they were issued. Nothing in them has been edited for this corpus, their own internal dates included, and a date inside one of them is the date that document carries rather than the date it entered the register.</w:t>
      </w:r>
    </w:p>
    <w:p>
      <w:pPr>
        <w:pStyle w:val="BodyText"/>
      </w:pPr>
      <w:r>
        <w:t xml:space="preserve">KB-04, KB-05 and KB-06 are the program’s dated records, one for each quarter the register covers. They are primary sources: an entry records what happened on the date in its own heading, and no entry of one record restates an entry of another.</w:t>
      </w:r>
    </w:p>
    <w:p>
      <w:pPr>
        <w:pStyle w:val="BodyText"/>
      </w:pPr>
      <w:r>
        <w:t xml:space="preserve">KB-07 is the only synthesis here. Every claim it makes carries one citation, and every citation names a source in this register. It cites nothing outside the corpus, and it does not cite itself.</w:t>
      </w:r>
    </w:p>
    <w:p>
      <w:pPr>
        <w:pStyle w:val="BodyText"/>
      </w:pPr>
      <w:r>
        <w:t xml:space="preserve">The corpus closes at 2026-03-31. Nothing in it speaks to what happened after that date, and nothing in it speaks to budgets, to headcount, to the identity of any customer, or to the tools the program ran on. Where a question falls outside those bounds, the honest answer is that this corpus does not cover it.</w:t>
      </w:r>
    </w:p>
    <w:bookmarkEnd w:id="10"/>
    <w:bookmarkEnd w:id="1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jc w:val="both"/>
    </w:p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jc w:val="left"/>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jc w:val="left"/>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jc w:val="left"/>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jc w:val="left"/>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jc w:val="left"/>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jc w:val="left"/>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jc w:val="left"/>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jc w:val="left"/>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jc w:val="left"/>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2026-09-14T20:26:19Z</dcterms:created>
  <dcterms:modified xsi:type="dcterms:W3CDTF">2026-09-14T20:26:19Z</dcterms:modified>
</cp:coreProperties>
</file>

<file path=docProps/custom.xml><?xml version="1.0" encoding="utf-8"?>
<Properties xmlns="http://schemas.openxmlformats.org/officeDocument/2006/custom-properties" xmlns:vt="http://schemas.openxmlformats.org/officeDocument/2006/docPropsVTypes"/>
</file>