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89457" w14:textId="77777777" w:rsidR="00711C62" w:rsidRDefault="00000000">
      <w:pPr>
        <w:spacing w:line="360" w:lineRule="auto"/>
        <w:ind w:left="7880"/>
        <w:rPr>
          <w:rFonts w:eastAsiaTheme="minorEastAsia"/>
        </w:rPr>
      </w:pPr>
      <w:r>
        <w:rPr>
          <w:noProof/>
        </w:rPr>
        <w:drawing>
          <wp:anchor distT="0" distB="0" distL="114300" distR="114300" simplePos="0" relativeHeight="251656704" behindDoc="1" locked="0" layoutInCell="1" allowOverlap="1" wp14:anchorId="55EF360C" wp14:editId="54F9580E">
            <wp:simplePos x="0" y="0"/>
            <wp:positionH relativeFrom="column">
              <wp:posOffset>-1141730</wp:posOffset>
            </wp:positionH>
            <wp:positionV relativeFrom="paragraph">
              <wp:posOffset>-941070</wp:posOffset>
            </wp:positionV>
            <wp:extent cx="7630160" cy="10722610"/>
            <wp:effectExtent l="0" t="0" r="8890" b="2540"/>
            <wp:wrapNone/>
            <wp:docPr id="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pic:cNvPicPr>
                      <a:picLocks noChangeAspect="1"/>
                    </pic:cNvPicPr>
                  </pic:nvPicPr>
                  <pic:blipFill>
                    <a:blip r:embed="rId9"/>
                    <a:stretch>
                      <a:fillRect/>
                    </a:stretch>
                  </pic:blipFill>
                  <pic:spPr>
                    <a:xfrm>
                      <a:off x="0" y="0"/>
                      <a:ext cx="7630160" cy="10722610"/>
                    </a:xfrm>
                    <a:prstGeom prst="rect">
                      <a:avLst/>
                    </a:prstGeom>
                    <a:noFill/>
                    <a:ln>
                      <a:noFill/>
                    </a:ln>
                  </pic:spPr>
                </pic:pic>
              </a:graphicData>
            </a:graphic>
          </wp:anchor>
        </w:drawing>
      </w:r>
      <w:r>
        <w:rPr>
          <w:noProof/>
        </w:rPr>
        <mc:AlternateContent>
          <mc:Choice Requires="wps">
            <w:drawing>
              <wp:anchor distT="0" distB="0" distL="114300" distR="114300" simplePos="0" relativeHeight="251653632" behindDoc="0" locked="0" layoutInCell="1" allowOverlap="1" wp14:anchorId="7CB3E7ED" wp14:editId="1CD55CF2">
                <wp:simplePos x="0" y="0"/>
                <wp:positionH relativeFrom="column">
                  <wp:posOffset>-1216660</wp:posOffset>
                </wp:positionH>
                <wp:positionV relativeFrom="paragraph">
                  <wp:posOffset>1981200</wp:posOffset>
                </wp:positionV>
                <wp:extent cx="7679055" cy="2796540"/>
                <wp:effectExtent l="0" t="0" r="0" b="0"/>
                <wp:wrapNone/>
                <wp:docPr id="4" name="文本框 4"/>
                <wp:cNvGraphicFramePr/>
                <a:graphic xmlns:a="http://schemas.openxmlformats.org/drawingml/2006/main">
                  <a:graphicData uri="http://schemas.microsoft.com/office/word/2010/wordprocessingShape">
                    <wps:wsp>
                      <wps:cNvSpPr txBox="1"/>
                      <wps:spPr>
                        <a:xfrm>
                          <a:off x="0" y="0"/>
                          <a:ext cx="7679055" cy="279654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FF6CDCB" w14:textId="77777777" w:rsidR="00711C62" w:rsidRDefault="00000000">
                            <w:pPr>
                              <w:pStyle w:val="a5"/>
                              <w:ind w:firstLineChars="0" w:firstLine="0"/>
                              <w:jc w:val="center"/>
                              <w:rPr>
                                <w:rFonts w:ascii="汉仪雅酷黑 75W" w:eastAsia="汉仪雅酷黑 75W" w:hAnsi="汉仪雅酷黑 75W" w:cs="汉仪雅酷黑 75W"/>
                                <w:b/>
                                <w:bCs/>
                                <w:color w:val="187B84"/>
                                <w:sz w:val="72"/>
                                <w:szCs w:val="72"/>
                              </w:rPr>
                            </w:pPr>
                            <w:r>
                              <w:rPr>
                                <w:rFonts w:ascii="汉仪雅酷黑 75W" w:eastAsia="汉仪雅酷黑 75W" w:hAnsi="汉仪雅酷黑 75W" w:cs="汉仪雅酷黑 75W" w:hint="eastAsia"/>
                                <w:b/>
                                <w:bCs/>
                                <w:color w:val="187B84"/>
                                <w:sz w:val="72"/>
                                <w:szCs w:val="72"/>
                              </w:rPr>
                              <w:t>2026级职业本科</w:t>
                            </w:r>
                          </w:p>
                          <w:p w14:paraId="2A41A5CA" w14:textId="77777777" w:rsidR="00711C62" w:rsidRDefault="00000000">
                            <w:pPr>
                              <w:pStyle w:val="a5"/>
                              <w:ind w:firstLineChars="0" w:firstLine="0"/>
                              <w:jc w:val="center"/>
                              <w:rPr>
                                <w:rFonts w:ascii="汉仪雅酷黑 75W" w:eastAsia="汉仪雅酷黑 75W" w:hAnsi="汉仪雅酷黑 75W" w:cs="汉仪雅酷黑 75W"/>
                                <w:b/>
                                <w:bCs/>
                                <w:color w:val="187B84"/>
                                <w:sz w:val="72"/>
                                <w:szCs w:val="72"/>
                              </w:rPr>
                            </w:pPr>
                            <w:r>
                              <w:rPr>
                                <w:rFonts w:ascii="汉仪雅酷黑 75W" w:eastAsia="汉仪雅酷黑 75W" w:hAnsi="汉仪雅酷黑 75W" w:cs="汉仪雅酷黑 75W" w:hint="eastAsia"/>
                                <w:b/>
                                <w:bCs/>
                                <w:color w:val="187B84"/>
                                <w:sz w:val="72"/>
                                <w:szCs w:val="72"/>
                              </w:rPr>
                              <w:t>现代物流管理专业</w:t>
                            </w:r>
                          </w:p>
                          <w:p w14:paraId="3381F3FA" w14:textId="77777777" w:rsidR="00711C62" w:rsidRDefault="00000000">
                            <w:pPr>
                              <w:pStyle w:val="a5"/>
                              <w:ind w:firstLineChars="0" w:firstLine="0"/>
                              <w:jc w:val="center"/>
                              <w:rPr>
                                <w:rFonts w:ascii="汉仪雅酷黑 75W" w:eastAsia="汉仪雅酷黑 75W" w:hAnsi="汉仪雅酷黑 75W" w:cs="汉仪雅酷黑 75W"/>
                                <w:b/>
                                <w:bCs/>
                                <w:color w:val="187B84"/>
                                <w:sz w:val="72"/>
                                <w:szCs w:val="72"/>
                              </w:rPr>
                            </w:pPr>
                            <w:r>
                              <w:rPr>
                                <w:rFonts w:ascii="汉仪雅酷黑 75W" w:eastAsia="汉仪雅酷黑 75W" w:hAnsi="汉仪雅酷黑 75W" w:cs="汉仪雅酷黑 75W" w:hint="eastAsia"/>
                                <w:b/>
                                <w:bCs/>
                                <w:color w:val="187B84"/>
                                <w:sz w:val="72"/>
                                <w:szCs w:val="72"/>
                              </w:rPr>
                              <w:t>人才培养方案修订</w:t>
                            </w:r>
                          </w:p>
                          <w:p w14:paraId="1B797D23" w14:textId="77777777" w:rsidR="00711C62" w:rsidRDefault="00000000">
                            <w:pPr>
                              <w:jc w:val="center"/>
                              <w:rPr>
                                <w:rFonts w:ascii="汉仪雅酷黑 75W" w:eastAsia="汉仪雅酷黑 75W" w:hAnsi="汉仪雅酷黑 75W" w:cs="汉仪雅酷黑 75W"/>
                                <w:b/>
                                <w:bCs/>
                                <w:color w:val="8DABD0"/>
                                <w:sz w:val="80"/>
                                <w:szCs w:val="80"/>
                              </w:rPr>
                            </w:pPr>
                            <w:r>
                              <w:rPr>
                                <w:rFonts w:ascii="汉仪雅酷黑 75W" w:eastAsia="汉仪雅酷黑 75W" w:hAnsi="汉仪雅酷黑 75W" w:cs="汉仪雅酷黑 75W" w:hint="eastAsia"/>
                                <w:b/>
                                <w:bCs/>
                                <w:color w:val="2DCBD9"/>
                                <w:sz w:val="80"/>
                                <w:szCs w:val="80"/>
                              </w:rPr>
                              <w:t>调研报告</w:t>
                            </w:r>
                          </w:p>
                          <w:p w14:paraId="1EC26DDA" w14:textId="77777777" w:rsidR="00711C62" w:rsidRDefault="00711C62">
                            <w:pPr>
                              <w:pStyle w:val="a5"/>
                              <w:ind w:firstLineChars="0" w:firstLine="0"/>
                              <w:jc w:val="center"/>
                              <w:rPr>
                                <w:rFonts w:ascii="汉仪雅酷黑 75W" w:eastAsia="汉仪雅酷黑 75W" w:hAnsi="汉仪雅酷黑 75W" w:cs="汉仪雅酷黑 75W"/>
                                <w:b/>
                                <w:bCs/>
                                <w:color w:val="187B84"/>
                                <w:sz w:val="72"/>
                                <w:szCs w:val="72"/>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7CB3E7ED" id="_x0000_t202" coordsize="21600,21600" o:spt="202" path="m,l,21600r21600,l21600,xe">
                <v:stroke joinstyle="miter"/>
                <v:path gradientshapeok="t" o:connecttype="rect"/>
              </v:shapetype>
              <v:shape id="文本框 4" o:spid="_x0000_s1026" type="#_x0000_t202" style="position:absolute;left:0;text-align:left;margin-left:-95.8pt;margin-top:156pt;width:604.65pt;height:220.2pt;z-index:251653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IV/TwIAAPYEAAAOAAAAZHJzL2Uyb0RvYy54bWysVN2PEjEQfzfxf2j6LgvIhxCWC3LBmFy8&#10;i2h8Lt0WNnY7tR3Yxb/+pgUWcvpyxpd2Ot/zm5nO7prKsIPyoQSb816ny5myEorSbnP+/dvq3QfO&#10;AgpbCANW5fyoAr+bv30zq91U9WEHplCekRMbprXL+Q7RTbMsyJ2qROiAU5aEGnwlkJ5+mxVe1OS9&#10;Mlm/2x1lNfjCeZAqBOLen4R8nvxrrSQ+ah0UMpNzyg3T6dO5iWc2n4np1gu3K+U5DfEPWVSitBS0&#10;dXUvULC9L/9wVZXSQwCNHQlVBlqXUqUaqJpe90U1651wKtVC4ATXwhT+n1v55bB2T55h8xEaamAE&#10;pHZhGogZ62m0r+JNmTKSE4THFjbVIJPEHI/Gk+5wyJkkWX88GQ0HCdjsau58wE8KKhaJnHvqS4JL&#10;HB4CUkhSvajEaBZWpTGpN8ayOuej98NuMmglZGEsGV6TTRQejYoejP2qNCuLlHNkpIlSS+PZQdAs&#10;CCmVxVRu8kTaUUtT2NcYnvWjqUrT9hrj1iJFBoutcVVa8KneF2kXPy8p65P+BYFT3RECbDbNuYkb&#10;KI7UWw+nsQ9OrkrC/0EEfBKe5pzaSbuLj3RoA4QznCnOduB//40f9Wn8SMpZTXuT8/BrL7zizHy2&#10;NJiT3oC6zzA9BsNxnx7+VrK5ldh9tQRqR49+CScTGfXRXEjtofpBK76IUUkkrKTYOccLucTTNtMX&#10;IdVikZRotZzAB7t2MrqO8FpY7BF0mYYtwnTC5gwfLVeawfNHELf39p20rt/V/BkAAP//AwBQSwME&#10;FAAGAAgAAAAhABt39arkAAAADQEAAA8AAABkcnMvZG93bnJldi54bWxMj8FuwjAQRO+V+g/WVuoN&#10;HKeFQIiDUCRUqSoHKJfeNvGSRI3tNDaQ9utrTu1xtU8zb7L1qDt2ocG11kgQ0wgYmcqq1tQSju/b&#10;yQKY82gUdtaQhG9ysM7v7zJMlb2aPV0OvmYhxLgUJTTe9ynnrmpIo5vankz4neyg0YdzqLka8BrC&#10;dcfjKJpzja0JDQ32VDRUfR7OWsJrsd3hvoz14qcrXt5Om/7r+DGT8vFh3KyAeRr9Hww3/aAOeXAq&#10;7dkoxzoJE7EU88BKeBJxWHVDIpEkwEoJySx+Bp5n/P+K/BcAAP//AwBQSwECLQAUAAYACAAAACEA&#10;toM4kv4AAADhAQAAEwAAAAAAAAAAAAAAAAAAAAAAW0NvbnRlbnRfVHlwZXNdLnhtbFBLAQItABQA&#10;BgAIAAAAIQA4/SH/1gAAAJQBAAALAAAAAAAAAAAAAAAAAC8BAABfcmVscy8ucmVsc1BLAQItABQA&#10;BgAIAAAAIQBZKIV/TwIAAPYEAAAOAAAAAAAAAAAAAAAAAC4CAABkcnMvZTJvRG9jLnhtbFBLAQIt&#10;ABQABgAIAAAAIQAbd/Wq5AAAAA0BAAAPAAAAAAAAAAAAAAAAAKkEAABkcnMvZG93bnJldi54bWxQ&#10;SwUGAAAAAAQABADzAAAAugUAAAAA&#10;" filled="f" stroked="f" strokeweight=".5pt">
                <v:textbox>
                  <w:txbxContent>
                    <w:p w14:paraId="6E6C7E92" w14:textId="77777777" w:rsidR="00711C62" w:rsidRDefault="00000000">
                      <w:pPr>
                        <w:pStyle w:val="a5"/>
                        <w:ind w:firstLineChars="0" w:firstLine="0"/>
                        <w:jc w:val="center"/>
                        <w:rPr>
                          <w:rFonts w:ascii="汉仪雅酷黑 75W" w:eastAsia="汉仪雅酷黑 75W" w:hAnsi="汉仪雅酷黑 75W" w:cs="汉仪雅酷黑 75W" w:hint="eastAsia"/>
                          <w:b/>
                          <w:bCs/>
                          <w:color w:val="187B84"/>
                          <w:sz w:val="72"/>
                          <w:szCs w:val="72"/>
                        </w:rPr>
                      </w:pPr>
                      <w:r>
                        <w:rPr>
                          <w:rFonts w:ascii="汉仪雅酷黑 75W" w:eastAsia="汉仪雅酷黑 75W" w:hAnsi="汉仪雅酷黑 75W" w:cs="汉仪雅酷黑 75W" w:hint="eastAsia"/>
                          <w:b/>
                          <w:bCs/>
                          <w:color w:val="187B84"/>
                          <w:sz w:val="72"/>
                          <w:szCs w:val="72"/>
                        </w:rPr>
                        <w:t>2026级职业本科</w:t>
                      </w:r>
                    </w:p>
                    <w:p w14:paraId="5340A7EA" w14:textId="77777777" w:rsidR="00711C62" w:rsidRDefault="00000000">
                      <w:pPr>
                        <w:pStyle w:val="a5"/>
                        <w:ind w:firstLineChars="0" w:firstLine="0"/>
                        <w:jc w:val="center"/>
                        <w:rPr>
                          <w:rFonts w:ascii="汉仪雅酷黑 75W" w:eastAsia="汉仪雅酷黑 75W" w:hAnsi="汉仪雅酷黑 75W" w:cs="汉仪雅酷黑 75W" w:hint="eastAsia"/>
                          <w:b/>
                          <w:bCs/>
                          <w:color w:val="187B84"/>
                          <w:sz w:val="72"/>
                          <w:szCs w:val="72"/>
                        </w:rPr>
                      </w:pPr>
                      <w:r>
                        <w:rPr>
                          <w:rFonts w:ascii="汉仪雅酷黑 75W" w:eastAsia="汉仪雅酷黑 75W" w:hAnsi="汉仪雅酷黑 75W" w:cs="汉仪雅酷黑 75W" w:hint="eastAsia"/>
                          <w:b/>
                          <w:bCs/>
                          <w:color w:val="187B84"/>
                          <w:sz w:val="72"/>
                          <w:szCs w:val="72"/>
                        </w:rPr>
                        <w:t>现代物流管理专业</w:t>
                      </w:r>
                    </w:p>
                    <w:p w14:paraId="7276A607" w14:textId="77777777" w:rsidR="00711C62" w:rsidRDefault="00000000">
                      <w:pPr>
                        <w:pStyle w:val="a5"/>
                        <w:ind w:firstLineChars="0" w:firstLine="0"/>
                        <w:jc w:val="center"/>
                        <w:rPr>
                          <w:rFonts w:ascii="汉仪雅酷黑 75W" w:eastAsia="汉仪雅酷黑 75W" w:hAnsi="汉仪雅酷黑 75W" w:cs="汉仪雅酷黑 75W" w:hint="eastAsia"/>
                          <w:b/>
                          <w:bCs/>
                          <w:color w:val="187B84"/>
                          <w:sz w:val="72"/>
                          <w:szCs w:val="72"/>
                        </w:rPr>
                      </w:pPr>
                      <w:r>
                        <w:rPr>
                          <w:rFonts w:ascii="汉仪雅酷黑 75W" w:eastAsia="汉仪雅酷黑 75W" w:hAnsi="汉仪雅酷黑 75W" w:cs="汉仪雅酷黑 75W" w:hint="eastAsia"/>
                          <w:b/>
                          <w:bCs/>
                          <w:color w:val="187B84"/>
                          <w:sz w:val="72"/>
                          <w:szCs w:val="72"/>
                        </w:rPr>
                        <w:t>人才培养方案修订</w:t>
                      </w:r>
                    </w:p>
                    <w:p w14:paraId="4CCC5B92" w14:textId="77777777" w:rsidR="00711C62" w:rsidRDefault="00000000">
                      <w:pPr>
                        <w:jc w:val="center"/>
                        <w:rPr>
                          <w:rFonts w:ascii="汉仪雅酷黑 75W" w:eastAsia="汉仪雅酷黑 75W" w:hAnsi="汉仪雅酷黑 75W" w:cs="汉仪雅酷黑 75W" w:hint="eastAsia"/>
                          <w:b/>
                          <w:bCs/>
                          <w:color w:val="8DABD0"/>
                          <w:sz w:val="80"/>
                          <w:szCs w:val="80"/>
                        </w:rPr>
                      </w:pPr>
                      <w:r>
                        <w:rPr>
                          <w:rFonts w:ascii="汉仪雅酷黑 75W" w:eastAsia="汉仪雅酷黑 75W" w:hAnsi="汉仪雅酷黑 75W" w:cs="汉仪雅酷黑 75W" w:hint="eastAsia"/>
                          <w:b/>
                          <w:bCs/>
                          <w:color w:val="2DCBD9"/>
                          <w:sz w:val="80"/>
                          <w:szCs w:val="80"/>
                        </w:rPr>
                        <w:t>调研报告</w:t>
                      </w:r>
                    </w:p>
                    <w:p w14:paraId="56E1C1C9" w14:textId="77777777" w:rsidR="00711C62" w:rsidRDefault="00711C62">
                      <w:pPr>
                        <w:pStyle w:val="a5"/>
                        <w:ind w:firstLineChars="0" w:firstLine="0"/>
                        <w:jc w:val="center"/>
                        <w:rPr>
                          <w:rFonts w:ascii="汉仪雅酷黑 75W" w:eastAsia="汉仪雅酷黑 75W" w:hAnsi="汉仪雅酷黑 75W" w:cs="汉仪雅酷黑 75W" w:hint="eastAsia"/>
                          <w:b/>
                          <w:bCs/>
                          <w:color w:val="187B84"/>
                          <w:sz w:val="72"/>
                          <w:szCs w:val="72"/>
                        </w:rPr>
                      </w:pPr>
                    </w:p>
                  </w:txbxContent>
                </v:textbox>
              </v:shape>
            </w:pict>
          </mc:Fallback>
        </mc:AlternateContent>
      </w:r>
      <w:r>
        <w:rPr>
          <w:noProof/>
        </w:rPr>
        <mc:AlternateContent>
          <mc:Choice Requires="wps">
            <w:drawing>
              <wp:anchor distT="0" distB="0" distL="114300" distR="114300" simplePos="0" relativeHeight="251654656" behindDoc="0" locked="0" layoutInCell="1" allowOverlap="1" wp14:anchorId="405B6E7B" wp14:editId="0EAA31DD">
                <wp:simplePos x="0" y="0"/>
                <wp:positionH relativeFrom="column">
                  <wp:posOffset>-783590</wp:posOffset>
                </wp:positionH>
                <wp:positionV relativeFrom="paragraph">
                  <wp:posOffset>498475</wp:posOffset>
                </wp:positionV>
                <wp:extent cx="3134995" cy="560705"/>
                <wp:effectExtent l="0" t="0" r="0" b="0"/>
                <wp:wrapNone/>
                <wp:docPr id="6" name="文本框 6"/>
                <wp:cNvGraphicFramePr/>
                <a:graphic xmlns:a="http://schemas.openxmlformats.org/drawingml/2006/main">
                  <a:graphicData uri="http://schemas.microsoft.com/office/word/2010/wordprocessingShape">
                    <wps:wsp>
                      <wps:cNvSpPr txBox="1"/>
                      <wps:spPr>
                        <a:xfrm>
                          <a:off x="0" y="0"/>
                          <a:ext cx="3134995" cy="5607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ACD521F" w14:textId="77777777" w:rsidR="00711C62" w:rsidRDefault="00711C62">
                            <w:pPr>
                              <w:jc w:val="left"/>
                              <w:rPr>
                                <w:rFonts w:ascii="汉仪雅酷黑 75W" w:eastAsia="汉仪雅酷黑 75W" w:hAnsi="汉仪雅酷黑 75W" w:cs="汉仪雅酷黑 75W"/>
                                <w:b/>
                                <w:bCs/>
                                <w:color w:val="8DABD0"/>
                                <w:sz w:val="24"/>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05B6E7B" id="文本框 6" o:spid="_x0000_s1027" type="#_x0000_t202" style="position:absolute;left:0;text-align:left;margin-left:-61.7pt;margin-top:39.25pt;width:246.85pt;height:44.15pt;z-index:251654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p3dUgIAAPwEAAAOAAAAZHJzL2Uyb0RvYy54bWysVN+P2jAMfp+0/yHK+2j5eQNRTowT06TT&#10;7jQ27TmkCVRL4iwJtOyvn5NCQbe93LSX1ontz/ZnO/P7RityFM5XYAra7+WUCMOhrMyuoN++rt+9&#10;p8QHZkqmwIiCnoSn94u3b+a1nYkB7EGVwhEEMX5W24LuQ7CzLPN8LzTzPbDCoFKC0yzg0e2y0rEa&#10;0bXKBnk+yWpwpXXAhfd4+9Aq6SLhSyl4eJLSi0BUQTG3kL4ufbfxmy3mbLZzzO4rfk6D/UMWmlUG&#10;g3ZQDywwcnDVH1C64g48yNDjoDOQsuIi1YDV9PMX1Wz2zIpUC5LjbUeT/3+w/PNxY58dCc0HaLCB&#10;kZDa+pnHy1hPI52Of8yUoB4pPHW0iSYQjpfD/nA0nY4p4agbT/K7fBxhsqu3dT58FKBJFArqsC2J&#10;LXZ89KE1vZjEYAbWlVKpNcqQuqCT4ThPDp0GwZXBGNdckxROSkQEZb4ISaoypRwv0kCJlXLkyHAU&#10;GOfChFRtQkLraCUx7Gscz/bRVaRhe41z55Eigwmds64MuFTvi7TLH5eUZWt/YaCtO1IQmm2Dhd+0&#10;cgvlCTvsoB1+b/m6wjY8Mh+emcNpx6biBocn/EgFSDecJUr24H797T7a4xCilpIat6eg/ueBOUGJ&#10;+mRwPKf90SiuWzqMxncDPLhbzfZWYw56BdiVPr4Vlicx2gd1EaUD/R0XfRmjoooZjrELGi7iKrQ7&#10;jQ8FF8tlMsIFsyw8mo3lETqybGB5CCCrNHORrZabM4u4Ymlqz89B3OHbc7K6PlqL3wAAAP//AwBQ&#10;SwMEFAAGAAgAAAAhAK4y1uTjAAAACwEAAA8AAABkcnMvZG93bnJldi54bWxMj01Pg0AURfcm/ofJ&#10;M3HXDgVLCWVoGpLGxOiitRt3D+YVSOcDmWmL/nrHlS5f7sm95xWbSSt2pdH11ghYzCNgZBore9MK&#10;OL7vZhkw59FIVNaQgC9ysCnv7wrMpb2ZPV0PvmWhxLgcBXTeDznnrulIo5vbgUzITnbU6MM5tlyO&#10;eAvlWvE4ilKusTdhocOBqo6a8+GiBbxUuzfc17HOvlX1/HraDp/Hj6UQjw/Tdg3M0+T/YPjVD+pQ&#10;BqfaXox0TAmYLeLkKbACVtkSWCCSVZQAqwOaphnwsuD/fyh/AAAA//8DAFBLAQItABQABgAIAAAA&#10;IQC2gziS/gAAAOEBAAATAAAAAAAAAAAAAAAAAAAAAABbQ29udGVudF9UeXBlc10ueG1sUEsBAi0A&#10;FAAGAAgAAAAhADj9If/WAAAAlAEAAAsAAAAAAAAAAAAAAAAALwEAAF9yZWxzLy5yZWxzUEsBAi0A&#10;FAAGAAgAAAAhAGgWnd1SAgAA/AQAAA4AAAAAAAAAAAAAAAAALgIAAGRycy9lMm9Eb2MueG1sUEsB&#10;Ai0AFAAGAAgAAAAhAK4y1uTjAAAACwEAAA8AAAAAAAAAAAAAAAAArAQAAGRycy9kb3ducmV2Lnht&#10;bFBLBQYAAAAABAAEAPMAAAC8BQAAAAA=&#10;" filled="f" stroked="f" strokeweight=".5pt">
                <v:textbox>
                  <w:txbxContent>
                    <w:p w14:paraId="3D517F58" w14:textId="77777777" w:rsidR="00711C62" w:rsidRDefault="00711C62">
                      <w:pPr>
                        <w:jc w:val="left"/>
                        <w:rPr>
                          <w:rFonts w:ascii="汉仪雅酷黑 75W" w:eastAsia="汉仪雅酷黑 75W" w:hAnsi="汉仪雅酷黑 75W" w:cs="汉仪雅酷黑 75W" w:hint="eastAsia"/>
                          <w:b/>
                          <w:bCs/>
                          <w:color w:val="8DABD0"/>
                          <w:sz w:val="24"/>
                        </w:rPr>
                      </w:pPr>
                    </w:p>
                  </w:txbxContent>
                </v:textbox>
              </v:shape>
            </w:pict>
          </mc:Fallback>
        </mc:AlternateContent>
      </w:r>
      <w:r>
        <w:rPr>
          <w:noProof/>
        </w:rPr>
        <w:drawing>
          <wp:anchor distT="0" distB="0" distL="114300" distR="114300" simplePos="0" relativeHeight="251655680" behindDoc="0" locked="0" layoutInCell="1" allowOverlap="1" wp14:anchorId="3247A235" wp14:editId="0126AA91">
            <wp:simplePos x="0" y="0"/>
            <wp:positionH relativeFrom="column">
              <wp:posOffset>-866775</wp:posOffset>
            </wp:positionH>
            <wp:positionV relativeFrom="paragraph">
              <wp:posOffset>-171450</wp:posOffset>
            </wp:positionV>
            <wp:extent cx="1787525" cy="234315"/>
            <wp:effectExtent l="0" t="0" r="3175" b="13335"/>
            <wp:wrapNone/>
            <wp:docPr id="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pic:cNvPicPr>
                      <a:picLocks noChangeAspect="1"/>
                    </pic:cNvPicPr>
                  </pic:nvPicPr>
                  <pic:blipFill>
                    <a:blip r:embed="rId10"/>
                    <a:stretch>
                      <a:fillRect/>
                    </a:stretch>
                  </pic:blipFill>
                  <pic:spPr>
                    <a:xfrm>
                      <a:off x="0" y="0"/>
                      <a:ext cx="1787525" cy="234315"/>
                    </a:xfrm>
                    <a:prstGeom prst="rect">
                      <a:avLst/>
                    </a:prstGeom>
                    <a:noFill/>
                    <a:ln>
                      <a:noFill/>
                    </a:ln>
                  </pic:spPr>
                </pic:pic>
              </a:graphicData>
            </a:graphic>
          </wp:anchor>
        </w:drawing>
      </w:r>
    </w:p>
    <w:p w14:paraId="29AF75FE" w14:textId="77777777" w:rsidR="00711C62" w:rsidRDefault="00000000">
      <w:pPr>
        <w:spacing w:line="360" w:lineRule="auto"/>
        <w:jc w:val="center"/>
        <w:rPr>
          <w:rFonts w:ascii="宋体" w:hAnsi="宋体"/>
        </w:rPr>
        <w:sectPr w:rsidR="00711C62">
          <w:headerReference w:type="even" r:id="rId11"/>
          <w:footerReference w:type="even" r:id="rId12"/>
          <w:footerReference w:type="default" r:id="rId13"/>
          <w:headerReference w:type="first" r:id="rId14"/>
          <w:footerReference w:type="first" r:id="rId15"/>
          <w:pgSz w:w="11906" w:h="16838"/>
          <w:pgMar w:top="1440" w:right="1800" w:bottom="1440" w:left="1800" w:header="851" w:footer="992" w:gutter="0"/>
          <w:cols w:space="425"/>
          <w:docGrid w:type="lines" w:linePitch="312"/>
        </w:sectPr>
      </w:pPr>
      <w:r>
        <w:rPr>
          <w:noProof/>
        </w:rPr>
        <mc:AlternateContent>
          <mc:Choice Requires="wps">
            <w:drawing>
              <wp:anchor distT="0" distB="0" distL="114300" distR="114300" simplePos="0" relativeHeight="251657728" behindDoc="0" locked="0" layoutInCell="1" allowOverlap="1" wp14:anchorId="436A31F3" wp14:editId="5C0B16BC">
                <wp:simplePos x="0" y="0"/>
                <wp:positionH relativeFrom="column">
                  <wp:posOffset>1304925</wp:posOffset>
                </wp:positionH>
                <wp:positionV relativeFrom="paragraph">
                  <wp:posOffset>6958330</wp:posOffset>
                </wp:positionV>
                <wp:extent cx="2576830" cy="914400"/>
                <wp:effectExtent l="0" t="0" r="13970" b="0"/>
                <wp:wrapNone/>
                <wp:docPr id="16" name="文本框 16"/>
                <wp:cNvGraphicFramePr/>
                <a:graphic xmlns:a="http://schemas.openxmlformats.org/drawingml/2006/main">
                  <a:graphicData uri="http://schemas.microsoft.com/office/word/2010/wordprocessingShape">
                    <wps:wsp>
                      <wps:cNvSpPr txBox="1"/>
                      <wps:spPr>
                        <a:xfrm>
                          <a:off x="2931795" y="8465185"/>
                          <a:ext cx="2576830" cy="9144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8C2F394" w14:textId="77777777" w:rsidR="00711C62" w:rsidRDefault="00000000">
                            <w:pPr>
                              <w:jc w:val="center"/>
                              <w:rPr>
                                <w:color w:val="000000" w:themeColor="text1"/>
                                <w:sz w:val="32"/>
                                <w:szCs w:val="44"/>
                                <w14:shadow w14:blurRad="38100" w14:dist="19050" w14:dir="2700000" w14:sx="100000" w14:sy="100000" w14:kx="0" w14:ky="0" w14:algn="tl">
                                  <w14:schemeClr w14:val="dk1">
                                    <w14:alpha w14:val="60000"/>
                                  </w14:schemeClr>
                                </w14:shadow>
                                <w14:props3d w14:extrusionH="0" w14:contourW="0" w14:prstMaterial="clear"/>
                              </w:rPr>
                            </w:pPr>
                            <w:r>
                              <w:rPr>
                                <w:rFonts w:hint="eastAsia"/>
                                <w:color w:val="000000" w:themeColor="text1"/>
                                <w:sz w:val="36"/>
                                <w:szCs w:val="44"/>
                                <w14:shadow w14:blurRad="38100" w14:dist="19050" w14:dir="2700000" w14:sx="100000" w14:sy="100000" w14:kx="0" w14:ky="0" w14:algn="tl">
                                  <w14:schemeClr w14:val="dk1">
                                    <w14:alpha w14:val="60000"/>
                                  </w14:schemeClr>
                                </w14:shadow>
                                <w14:props3d w14:extrusionH="0" w14:contourW="0" w14:prstMaterial="clear"/>
                              </w:rPr>
                              <w:t>数字商务学院</w:t>
                            </w:r>
                          </w:p>
                          <w:p w14:paraId="6A077112" w14:textId="77777777" w:rsidR="00711C62" w:rsidRDefault="00000000">
                            <w:pPr>
                              <w:pStyle w:val="a5"/>
                              <w:ind w:firstLineChars="0" w:firstLine="0"/>
                              <w:jc w:val="center"/>
                              <w:rPr>
                                <w:color w:val="000000" w:themeColor="text1"/>
                                <w:sz w:val="32"/>
                                <w:szCs w:val="44"/>
                                <w14:shadow w14:blurRad="38100" w14:dist="19050" w14:dir="2700000" w14:sx="100000" w14:sy="100000" w14:kx="0" w14:ky="0" w14:algn="tl">
                                  <w14:schemeClr w14:val="dk1">
                                    <w14:alpha w14:val="60000"/>
                                  </w14:schemeClr>
                                </w14:shadow>
                                <w14:props3d w14:extrusionH="0" w14:contourW="0" w14:prstMaterial="clear"/>
                              </w:rPr>
                            </w:pPr>
                            <w:r>
                              <w:rPr>
                                <w:rFonts w:hint="eastAsia"/>
                                <w:color w:val="000000" w:themeColor="text1"/>
                                <w:sz w:val="32"/>
                                <w:szCs w:val="44"/>
                                <w14:shadow w14:blurRad="38100" w14:dist="19050" w14:dir="2700000" w14:sx="100000" w14:sy="100000" w14:kx="0" w14:ky="0" w14:algn="tl">
                                  <w14:schemeClr w14:val="dk1">
                                    <w14:alpha w14:val="60000"/>
                                  </w14:schemeClr>
                                </w14:shadow>
                                <w14:props3d w14:extrusionH="0" w14:contourW="0" w14:prstMaterial="clear"/>
                              </w:rPr>
                              <w:t>2026</w:t>
                            </w:r>
                            <w:r>
                              <w:rPr>
                                <w:rFonts w:hint="eastAsia"/>
                                <w:color w:val="000000" w:themeColor="text1"/>
                                <w:sz w:val="32"/>
                                <w:szCs w:val="44"/>
                                <w14:shadow w14:blurRad="38100" w14:dist="19050" w14:dir="2700000" w14:sx="100000" w14:sy="100000" w14:kx="0" w14:ky="0" w14:algn="tl">
                                  <w14:schemeClr w14:val="dk1">
                                    <w14:alpha w14:val="60000"/>
                                  </w14:schemeClr>
                                </w14:shadow>
                                <w14:props3d w14:extrusionH="0" w14:contourW="0" w14:prstMaterial="clear"/>
                              </w:rPr>
                              <w:t>年</w:t>
                            </w:r>
                            <w:r>
                              <w:rPr>
                                <w:rFonts w:hint="eastAsia"/>
                                <w:color w:val="000000" w:themeColor="text1"/>
                                <w:sz w:val="32"/>
                                <w:szCs w:val="44"/>
                                <w14:shadow w14:blurRad="38100" w14:dist="19050" w14:dir="2700000" w14:sx="100000" w14:sy="100000" w14:kx="0" w14:ky="0" w14:algn="tl">
                                  <w14:schemeClr w14:val="dk1">
                                    <w14:alpha w14:val="60000"/>
                                  </w14:schemeClr>
                                </w14:shadow>
                                <w14:props3d w14:extrusionH="0" w14:contourW="0" w14:prstMaterial="clear"/>
                              </w:rPr>
                              <w:t>3</w:t>
                            </w:r>
                            <w:r>
                              <w:rPr>
                                <w:rFonts w:hint="eastAsia"/>
                                <w:color w:val="000000" w:themeColor="text1"/>
                                <w:sz w:val="32"/>
                                <w:szCs w:val="44"/>
                                <w14:shadow w14:blurRad="38100" w14:dist="19050" w14:dir="2700000" w14:sx="100000" w14:sy="100000" w14:kx="0" w14:ky="0" w14:algn="tl">
                                  <w14:schemeClr w14:val="dk1">
                                    <w14:alpha w14:val="60000"/>
                                  </w14:schemeClr>
                                </w14:shadow>
                                <w14:props3d w14:extrusionH="0" w14:contourW="0" w14:prstMaterial="clear"/>
                              </w:rPr>
                              <w:t>月</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36A31F3" id="文本框 16" o:spid="_x0000_s1028" type="#_x0000_t202" style="position:absolute;left:0;text-align:left;margin-left:102.75pt;margin-top:547.9pt;width:202.9pt;height:1in;z-index:251657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KAc0aQIAADAFAAAOAAAAZHJzL2Uyb0RvYy54bWysVMmOEzEQvSPxD5bvpLNvSmcUMgpCipgR&#10;AXF23HZi4XYZ20l3+HrK7mwMXAZxcdtdr7ZXy+yhLjU5CucVmJx2Wm1KhOFQKLPL6dcvq3djSnxg&#10;pmAajMjpSXj6MH/7ZlbZqejCHnQhHEEjxk8rm9N9CHaaZZ7vRcl8C6wwKJTgShbw6XZZ4ViF1kud&#10;ddvtYVaBK6wDLrzHv4+NkM6TfSkFD09SehGIzinGFtLp0rmNZzafsenOMbtX/BwG+4coSqYMOr2a&#10;emSBkYNTf5gqFXfgQYYWhzIDKRUXKQfMptN+kc1mz6xIuSA53l5p8v/PLP903NhnR0L9HmosYCSk&#10;sn7q8WfMp5aujF+MlKC8O+l1RpMBJaecjvvDQWc8aCgUdSA8Agaj4biHTHNETDr9fjtxnN0sWefD&#10;BwEliZecOixRYo4d1z6gd4ReINGxB62KldI6PWJbiKV25MiwoDqkeFHjN5Q2pMrpsDdoJ8MGonpj&#10;WRt0cMsv3cJJi2hcm89CElVgFo1iasKbN8a5MFePCR3VJBp/jeIZH1VFatDXKF81kmcw4apcKgMu&#10;5fsi7OL7hSTZ4C8MNHlHCkK9rTFxrN6l/FsoTtgVDpqB8ZavFJZrzXx4Zg4nBCuMUx+e8JAakG44&#10;3yjZg/v5t/8Rj42LUkoqnLic+h8H5gQl+qPBlk7dgiOaHv3BqIs+3L1key8xh3IJ2AMd3C+Wp2vE&#10;B325SgflN1wOi+gVRcxw9J3TcLkuQ7MHcLlwsVgkEA6lZWFtNpZH05FlA4tDAKlSb0a2Gm7OLOJY&#10;ppY9r5A49/fvhLotuvkvAAAA//8DAFBLAwQUAAYACAAAACEAJ0SxbeMAAAANAQAADwAAAGRycy9k&#10;b3ducmV2LnhtbEyPS0/DMBCE70j8B2uRuCDqPJTShjgVQjwkbjQ8xM2NlyQiXkexm4R/z3KC4858&#10;mp0pdovtxYSj7xwpiFcRCKTamY4aBS/V/eUGhA+ajO4doYJv9LArT08KnRs30zNO+9AIDiGfawVt&#10;CEMupa9btNqv3IDE3qcbrQ58jo00o5453PYyiaK1tLoj/tDqAW9brL/2R6vg46J5f/LLw+ucZulw&#10;9zhVV2+mUur8bLm5BhFwCX8w/Nbn6lByp4M7kvGiV5BEWcYoG9E24xGMrOM4BXFgKUm3G5BlIf+v&#10;KH8AAAD//wMAUEsBAi0AFAAGAAgAAAAhALaDOJL+AAAA4QEAABMAAAAAAAAAAAAAAAAAAAAAAFtD&#10;b250ZW50X1R5cGVzXS54bWxQSwECLQAUAAYACAAAACEAOP0h/9YAAACUAQAACwAAAAAAAAAAAAAA&#10;AAAvAQAAX3JlbHMvLnJlbHNQSwECLQAUAAYACAAAACEAvSgHNGkCAAAwBQAADgAAAAAAAAAAAAAA&#10;AAAuAgAAZHJzL2Uyb0RvYy54bWxQSwECLQAUAAYACAAAACEAJ0SxbeMAAAANAQAADwAAAAAAAAAA&#10;AAAAAADDBAAAZHJzL2Rvd25yZXYueG1sUEsFBgAAAAAEAAQA8wAAANMFAAAAAA==&#10;" fillcolor="white [3201]" stroked="f" strokeweight=".5pt">
                <v:textbox>
                  <w:txbxContent>
                    <w:p w14:paraId="5FA8CA89" w14:textId="77777777" w:rsidR="00711C62" w:rsidRDefault="00000000">
                      <w:pPr>
                        <w:jc w:val="center"/>
                        <w:rPr>
                          <w:color w:val="000000" w:themeColor="text1"/>
                          <w:sz w:val="32"/>
                          <w:szCs w:val="44"/>
                          <w14:shadow w14:blurRad="38100" w14:dist="19050" w14:dir="2700000" w14:sx="100000" w14:sy="100000" w14:kx="0" w14:ky="0" w14:algn="tl">
                            <w14:schemeClr w14:val="dk1">
                              <w14:alpha w14:val="60000"/>
                            </w14:schemeClr>
                          </w14:shadow>
                          <w14:props3d w14:extrusionH="0" w14:contourW="0" w14:prstMaterial="clear"/>
                        </w:rPr>
                      </w:pPr>
                      <w:r>
                        <w:rPr>
                          <w:rFonts w:hint="eastAsia"/>
                          <w:color w:val="000000" w:themeColor="text1"/>
                          <w:sz w:val="36"/>
                          <w:szCs w:val="44"/>
                          <w14:shadow w14:blurRad="38100" w14:dist="19050" w14:dir="2700000" w14:sx="100000" w14:sy="100000" w14:kx="0" w14:ky="0" w14:algn="tl">
                            <w14:schemeClr w14:val="dk1">
                              <w14:alpha w14:val="60000"/>
                            </w14:schemeClr>
                          </w14:shadow>
                          <w14:props3d w14:extrusionH="0" w14:contourW="0" w14:prstMaterial="clear"/>
                        </w:rPr>
                        <w:t>数字商务学院</w:t>
                      </w:r>
                    </w:p>
                    <w:p w14:paraId="696EDC7C" w14:textId="77777777" w:rsidR="00711C62" w:rsidRDefault="00000000">
                      <w:pPr>
                        <w:pStyle w:val="a5"/>
                        <w:ind w:firstLineChars="0" w:firstLine="0"/>
                        <w:jc w:val="center"/>
                        <w:rPr>
                          <w:color w:val="000000" w:themeColor="text1"/>
                          <w:sz w:val="32"/>
                          <w:szCs w:val="44"/>
                          <w14:shadow w14:blurRad="38100" w14:dist="19050" w14:dir="2700000" w14:sx="100000" w14:sy="100000" w14:kx="0" w14:ky="0" w14:algn="tl">
                            <w14:schemeClr w14:val="dk1">
                              <w14:alpha w14:val="60000"/>
                            </w14:schemeClr>
                          </w14:shadow>
                          <w14:props3d w14:extrusionH="0" w14:contourW="0" w14:prstMaterial="clear"/>
                        </w:rPr>
                      </w:pPr>
                      <w:r>
                        <w:rPr>
                          <w:rFonts w:hint="eastAsia"/>
                          <w:color w:val="000000" w:themeColor="text1"/>
                          <w:sz w:val="32"/>
                          <w:szCs w:val="44"/>
                          <w14:shadow w14:blurRad="38100" w14:dist="19050" w14:dir="2700000" w14:sx="100000" w14:sy="100000" w14:kx="0" w14:ky="0" w14:algn="tl">
                            <w14:schemeClr w14:val="dk1">
                              <w14:alpha w14:val="60000"/>
                            </w14:schemeClr>
                          </w14:shadow>
                          <w14:props3d w14:extrusionH="0" w14:contourW="0" w14:prstMaterial="clear"/>
                        </w:rPr>
                        <w:t>2026</w:t>
                      </w:r>
                      <w:r>
                        <w:rPr>
                          <w:rFonts w:hint="eastAsia"/>
                          <w:color w:val="000000" w:themeColor="text1"/>
                          <w:sz w:val="32"/>
                          <w:szCs w:val="44"/>
                          <w14:shadow w14:blurRad="38100" w14:dist="19050" w14:dir="2700000" w14:sx="100000" w14:sy="100000" w14:kx="0" w14:ky="0" w14:algn="tl">
                            <w14:schemeClr w14:val="dk1">
                              <w14:alpha w14:val="60000"/>
                            </w14:schemeClr>
                          </w14:shadow>
                          <w14:props3d w14:extrusionH="0" w14:contourW="0" w14:prstMaterial="clear"/>
                        </w:rPr>
                        <w:t>年</w:t>
                      </w:r>
                      <w:r>
                        <w:rPr>
                          <w:rFonts w:hint="eastAsia"/>
                          <w:color w:val="000000" w:themeColor="text1"/>
                          <w:sz w:val="32"/>
                          <w:szCs w:val="44"/>
                          <w14:shadow w14:blurRad="38100" w14:dist="19050" w14:dir="2700000" w14:sx="100000" w14:sy="100000" w14:kx="0" w14:ky="0" w14:algn="tl">
                            <w14:schemeClr w14:val="dk1">
                              <w14:alpha w14:val="60000"/>
                            </w14:schemeClr>
                          </w14:shadow>
                          <w14:props3d w14:extrusionH="0" w14:contourW="0" w14:prstMaterial="clear"/>
                        </w:rPr>
                        <w:t>3</w:t>
                      </w:r>
                      <w:r>
                        <w:rPr>
                          <w:rFonts w:hint="eastAsia"/>
                          <w:color w:val="000000" w:themeColor="text1"/>
                          <w:sz w:val="32"/>
                          <w:szCs w:val="44"/>
                          <w14:shadow w14:blurRad="38100" w14:dist="19050" w14:dir="2700000" w14:sx="100000" w14:sy="100000" w14:kx="0" w14:ky="0" w14:algn="tl">
                            <w14:schemeClr w14:val="dk1">
                              <w14:alpha w14:val="60000"/>
                            </w14:schemeClr>
                          </w14:shadow>
                          <w14:props3d w14:extrusionH="0" w14:contourW="0" w14:prstMaterial="clear"/>
                        </w:rPr>
                        <w:t>月</w:t>
                      </w:r>
                    </w:p>
                  </w:txbxContent>
                </v:textbox>
              </v:shape>
            </w:pict>
          </mc:Fallback>
        </mc:AlternateContent>
      </w:r>
    </w:p>
    <w:sdt>
      <w:sdtPr>
        <w:rPr>
          <w:rFonts w:ascii="黑体" w:eastAsia="黑体" w:hAnsi="黑体" w:cs="黑体" w:hint="eastAsia"/>
          <w:b/>
          <w:bCs/>
          <w:color w:val="auto"/>
          <w:kern w:val="2"/>
          <w:sz w:val="21"/>
          <w:szCs w:val="24"/>
          <w:lang w:val="zh-CN"/>
        </w:rPr>
        <w:id w:val="932240197"/>
        <w:docPartObj>
          <w:docPartGallery w:val="Table of Contents"/>
          <w:docPartUnique/>
        </w:docPartObj>
      </w:sdtPr>
      <w:sdtEndPr>
        <w:rPr>
          <w:rFonts w:ascii="Times New Roman" w:eastAsia="宋体" w:hAnsi="Times New Roman" w:cs="Times New Roman"/>
        </w:rPr>
      </w:sdtEndPr>
      <w:sdtContent>
        <w:p w14:paraId="4B4E6771" w14:textId="77777777" w:rsidR="00711C62" w:rsidRDefault="00000000">
          <w:pPr>
            <w:pStyle w:val="TOC10"/>
            <w:jc w:val="center"/>
            <w:rPr>
              <w:rFonts w:ascii="黑体" w:eastAsia="黑体" w:hAnsi="黑体" w:cs="黑体"/>
              <w:b/>
              <w:bCs/>
              <w:color w:val="auto"/>
            </w:rPr>
          </w:pPr>
          <w:r>
            <w:rPr>
              <w:rFonts w:ascii="黑体" w:eastAsia="黑体" w:hAnsi="黑体" w:cs="黑体" w:hint="eastAsia"/>
              <w:b/>
              <w:bCs/>
              <w:color w:val="auto"/>
              <w:lang w:val="zh-CN"/>
            </w:rPr>
            <w:t>目录</w:t>
          </w:r>
        </w:p>
        <w:p w14:paraId="19E32F8C" w14:textId="77777777" w:rsidR="00711C62" w:rsidRDefault="00000000">
          <w:pPr>
            <w:pStyle w:val="TOC1"/>
            <w:tabs>
              <w:tab w:val="right" w:leader="dot" w:pos="8306"/>
            </w:tabs>
            <w:rPr>
              <w:rFonts w:ascii="黑体" w:eastAsia="黑体" w:hAnsi="黑体" w:cs="黑体"/>
              <w:sz w:val="28"/>
              <w:szCs w:val="28"/>
            </w:rPr>
          </w:pPr>
          <w:r>
            <w:rPr>
              <w:rFonts w:ascii="黑体" w:eastAsia="黑体" w:hAnsi="黑体" w:cs="黑体" w:hint="eastAsia"/>
              <w:sz w:val="28"/>
              <w:szCs w:val="28"/>
            </w:rPr>
            <w:fldChar w:fldCharType="begin"/>
          </w:r>
          <w:r>
            <w:rPr>
              <w:rFonts w:ascii="黑体" w:eastAsia="黑体" w:hAnsi="黑体" w:cs="黑体" w:hint="eastAsia"/>
              <w:sz w:val="28"/>
              <w:szCs w:val="28"/>
            </w:rPr>
            <w:instrText xml:space="preserve"> TOC \o "1-3" \h \z \u </w:instrText>
          </w:r>
          <w:r>
            <w:rPr>
              <w:rFonts w:ascii="黑体" w:eastAsia="黑体" w:hAnsi="黑体" w:cs="黑体" w:hint="eastAsia"/>
              <w:sz w:val="28"/>
              <w:szCs w:val="28"/>
            </w:rPr>
            <w:fldChar w:fldCharType="separate"/>
          </w:r>
          <w:hyperlink w:anchor="_Toc2451" w:history="1">
            <w:r w:rsidR="00711C62">
              <w:rPr>
                <w:rFonts w:ascii="黑体" w:eastAsia="黑体" w:hAnsi="黑体" w:cs="黑体" w:hint="eastAsia"/>
                <w:sz w:val="28"/>
                <w:szCs w:val="28"/>
              </w:rPr>
              <w:t>一、调研设计与实施</w:t>
            </w:r>
            <w:r w:rsidR="00711C62">
              <w:rPr>
                <w:rFonts w:ascii="黑体" w:eastAsia="黑体" w:hAnsi="黑体" w:cs="黑体" w:hint="eastAsia"/>
                <w:sz w:val="28"/>
                <w:szCs w:val="28"/>
              </w:rPr>
              <w:tab/>
            </w:r>
            <w:r w:rsidR="00711C62">
              <w:rPr>
                <w:rFonts w:ascii="黑体" w:eastAsia="黑体" w:hAnsi="黑体" w:cs="黑体" w:hint="eastAsia"/>
                <w:sz w:val="28"/>
                <w:szCs w:val="28"/>
              </w:rPr>
              <w:fldChar w:fldCharType="begin"/>
            </w:r>
            <w:r w:rsidR="00711C62">
              <w:rPr>
                <w:rFonts w:ascii="黑体" w:eastAsia="黑体" w:hAnsi="黑体" w:cs="黑体" w:hint="eastAsia"/>
                <w:sz w:val="28"/>
                <w:szCs w:val="28"/>
              </w:rPr>
              <w:instrText xml:space="preserve"> PAGEREF _Toc2451 \h </w:instrText>
            </w:r>
            <w:r w:rsidR="00711C62">
              <w:rPr>
                <w:rFonts w:ascii="黑体" w:eastAsia="黑体" w:hAnsi="黑体" w:cs="黑体" w:hint="eastAsia"/>
                <w:sz w:val="28"/>
                <w:szCs w:val="28"/>
              </w:rPr>
            </w:r>
            <w:r w:rsidR="00711C62">
              <w:rPr>
                <w:rFonts w:ascii="黑体" w:eastAsia="黑体" w:hAnsi="黑体" w:cs="黑体" w:hint="eastAsia"/>
                <w:sz w:val="28"/>
                <w:szCs w:val="28"/>
              </w:rPr>
              <w:fldChar w:fldCharType="separate"/>
            </w:r>
            <w:r w:rsidR="00226A31">
              <w:rPr>
                <w:rFonts w:ascii="黑体" w:eastAsia="黑体" w:hAnsi="黑体" w:cs="黑体"/>
                <w:noProof/>
                <w:sz w:val="28"/>
                <w:szCs w:val="28"/>
              </w:rPr>
              <w:t>1</w:t>
            </w:r>
            <w:r w:rsidR="00711C62">
              <w:rPr>
                <w:rFonts w:ascii="黑体" w:eastAsia="黑体" w:hAnsi="黑体" w:cs="黑体" w:hint="eastAsia"/>
                <w:sz w:val="28"/>
                <w:szCs w:val="28"/>
              </w:rPr>
              <w:fldChar w:fldCharType="end"/>
            </w:r>
          </w:hyperlink>
        </w:p>
        <w:p w14:paraId="3BA3CB00" w14:textId="77777777" w:rsidR="00711C62" w:rsidRDefault="00711C62">
          <w:pPr>
            <w:pStyle w:val="TOC2"/>
            <w:tabs>
              <w:tab w:val="right" w:leader="dot" w:pos="8306"/>
            </w:tabs>
            <w:rPr>
              <w:rFonts w:ascii="黑体" w:eastAsia="黑体" w:hAnsi="黑体" w:cs="黑体"/>
              <w:sz w:val="28"/>
              <w:szCs w:val="28"/>
            </w:rPr>
          </w:pPr>
          <w:hyperlink w:anchor="_Toc16418" w:history="1">
            <w:r>
              <w:rPr>
                <w:rFonts w:ascii="黑体" w:eastAsia="黑体" w:hAnsi="黑体" w:cs="黑体" w:hint="eastAsia"/>
                <w:kern w:val="44"/>
                <w:sz w:val="28"/>
                <w:szCs w:val="28"/>
              </w:rPr>
              <w:t>（一）调研目标</w:t>
            </w:r>
            <w:r>
              <w:rPr>
                <w:rFonts w:ascii="黑体" w:eastAsia="黑体" w:hAnsi="黑体" w:cs="黑体" w:hint="eastAsia"/>
                <w:sz w:val="28"/>
                <w:szCs w:val="28"/>
              </w:rPr>
              <w:tab/>
            </w:r>
            <w:r>
              <w:rPr>
                <w:rFonts w:ascii="黑体" w:eastAsia="黑体" w:hAnsi="黑体" w:cs="黑体" w:hint="eastAsia"/>
                <w:sz w:val="28"/>
                <w:szCs w:val="28"/>
              </w:rPr>
              <w:fldChar w:fldCharType="begin"/>
            </w:r>
            <w:r>
              <w:rPr>
                <w:rFonts w:ascii="黑体" w:eastAsia="黑体" w:hAnsi="黑体" w:cs="黑体" w:hint="eastAsia"/>
                <w:sz w:val="28"/>
                <w:szCs w:val="28"/>
              </w:rPr>
              <w:instrText xml:space="preserve"> PAGEREF _Toc16418 \h </w:instrText>
            </w:r>
            <w:r>
              <w:rPr>
                <w:rFonts w:ascii="黑体" w:eastAsia="黑体" w:hAnsi="黑体" w:cs="黑体" w:hint="eastAsia"/>
                <w:sz w:val="28"/>
                <w:szCs w:val="28"/>
              </w:rPr>
              <w:fldChar w:fldCharType="separate"/>
            </w:r>
            <w:r w:rsidR="00226A31">
              <w:rPr>
                <w:rFonts w:ascii="黑体" w:eastAsia="黑体" w:hAnsi="黑体" w:cs="黑体" w:hint="eastAsia"/>
                <w:b/>
                <w:bCs/>
                <w:noProof/>
                <w:sz w:val="28"/>
                <w:szCs w:val="28"/>
              </w:rPr>
              <w:t>错误!未定义书签。</w:t>
            </w:r>
            <w:r>
              <w:rPr>
                <w:rFonts w:ascii="黑体" w:eastAsia="黑体" w:hAnsi="黑体" w:cs="黑体" w:hint="eastAsia"/>
                <w:sz w:val="28"/>
                <w:szCs w:val="28"/>
              </w:rPr>
              <w:fldChar w:fldCharType="end"/>
            </w:r>
          </w:hyperlink>
        </w:p>
        <w:p w14:paraId="15AFA13C" w14:textId="77777777" w:rsidR="00711C62" w:rsidRDefault="00711C62">
          <w:pPr>
            <w:pStyle w:val="TOC2"/>
            <w:tabs>
              <w:tab w:val="right" w:leader="dot" w:pos="8306"/>
            </w:tabs>
            <w:rPr>
              <w:rFonts w:ascii="黑体" w:eastAsia="黑体" w:hAnsi="黑体" w:cs="黑体"/>
              <w:sz w:val="28"/>
              <w:szCs w:val="28"/>
            </w:rPr>
          </w:pPr>
          <w:hyperlink w:anchor="_Toc22913" w:history="1">
            <w:r>
              <w:rPr>
                <w:rFonts w:ascii="黑体" w:eastAsia="黑体" w:hAnsi="黑体" w:cs="黑体" w:hint="eastAsia"/>
                <w:kern w:val="44"/>
                <w:sz w:val="28"/>
                <w:szCs w:val="28"/>
              </w:rPr>
              <w:t>（二）调研对象</w:t>
            </w:r>
            <w:r>
              <w:rPr>
                <w:rFonts w:ascii="黑体" w:eastAsia="黑体" w:hAnsi="黑体" w:cs="黑体" w:hint="eastAsia"/>
                <w:sz w:val="28"/>
                <w:szCs w:val="28"/>
              </w:rPr>
              <w:tab/>
              <w:t>2</w:t>
            </w:r>
          </w:hyperlink>
        </w:p>
        <w:p w14:paraId="0DC9334C" w14:textId="77777777" w:rsidR="00711C62" w:rsidRDefault="00711C62">
          <w:pPr>
            <w:pStyle w:val="TOC2"/>
            <w:tabs>
              <w:tab w:val="right" w:leader="dot" w:pos="8306"/>
            </w:tabs>
            <w:rPr>
              <w:rFonts w:ascii="黑体" w:eastAsia="黑体" w:hAnsi="黑体" w:cs="黑体"/>
              <w:sz w:val="28"/>
              <w:szCs w:val="28"/>
            </w:rPr>
          </w:pPr>
          <w:hyperlink w:anchor="_Toc15018" w:history="1">
            <w:r>
              <w:rPr>
                <w:rFonts w:ascii="黑体" w:eastAsia="黑体" w:hAnsi="黑体" w:cs="黑体" w:hint="eastAsia"/>
                <w:kern w:val="44"/>
                <w:sz w:val="28"/>
                <w:szCs w:val="28"/>
              </w:rPr>
              <w:t>（三）调研方式</w:t>
            </w:r>
            <w:r>
              <w:rPr>
                <w:rFonts w:ascii="黑体" w:eastAsia="黑体" w:hAnsi="黑体" w:cs="黑体" w:hint="eastAsia"/>
                <w:sz w:val="28"/>
                <w:szCs w:val="28"/>
              </w:rPr>
              <w:tab/>
              <w:t>3</w:t>
            </w:r>
          </w:hyperlink>
        </w:p>
        <w:p w14:paraId="7AC19C6F" w14:textId="77777777" w:rsidR="00711C62" w:rsidRDefault="00711C62">
          <w:pPr>
            <w:pStyle w:val="TOC1"/>
            <w:tabs>
              <w:tab w:val="right" w:leader="dot" w:pos="8306"/>
            </w:tabs>
            <w:rPr>
              <w:rFonts w:ascii="黑体" w:eastAsia="黑体" w:hAnsi="黑体" w:cs="黑体"/>
              <w:sz w:val="28"/>
              <w:szCs w:val="28"/>
            </w:rPr>
          </w:pPr>
          <w:hyperlink w:anchor="_Toc8722" w:history="1">
            <w:r>
              <w:rPr>
                <w:rFonts w:ascii="黑体" w:eastAsia="黑体" w:hAnsi="黑体" w:cs="黑体" w:hint="eastAsia"/>
                <w:sz w:val="28"/>
                <w:szCs w:val="28"/>
              </w:rPr>
              <w:t>二、现代物流管理专业人才需求分析和预测</w:t>
            </w:r>
            <w:r>
              <w:rPr>
                <w:rFonts w:ascii="黑体" w:eastAsia="黑体" w:hAnsi="黑体" w:cs="黑体" w:hint="eastAsia"/>
                <w:sz w:val="28"/>
                <w:szCs w:val="28"/>
              </w:rPr>
              <w:tab/>
              <w:t>4</w:t>
            </w:r>
          </w:hyperlink>
        </w:p>
        <w:p w14:paraId="709B4682" w14:textId="77777777" w:rsidR="00711C62" w:rsidRDefault="00711C62">
          <w:pPr>
            <w:pStyle w:val="TOC2"/>
            <w:tabs>
              <w:tab w:val="right" w:leader="dot" w:pos="8306"/>
            </w:tabs>
            <w:rPr>
              <w:rFonts w:ascii="黑体" w:eastAsia="黑体" w:hAnsi="黑体" w:cs="黑体"/>
              <w:sz w:val="28"/>
              <w:szCs w:val="28"/>
            </w:rPr>
          </w:pPr>
          <w:hyperlink w:anchor="_Toc21286" w:history="1">
            <w:r>
              <w:rPr>
                <w:rFonts w:ascii="黑体" w:eastAsia="黑体" w:hAnsi="黑体" w:cs="黑体" w:hint="eastAsia"/>
                <w:kern w:val="44"/>
                <w:sz w:val="28"/>
                <w:szCs w:val="28"/>
              </w:rPr>
              <w:t>（一）专业行业面向</w:t>
            </w:r>
            <w:r>
              <w:rPr>
                <w:rFonts w:ascii="黑体" w:eastAsia="黑体" w:hAnsi="黑体" w:cs="黑体" w:hint="eastAsia"/>
                <w:sz w:val="28"/>
                <w:szCs w:val="28"/>
              </w:rPr>
              <w:tab/>
              <w:t>4</w:t>
            </w:r>
          </w:hyperlink>
        </w:p>
        <w:p w14:paraId="0FECD08E" w14:textId="77777777" w:rsidR="00711C62" w:rsidRDefault="00711C62">
          <w:pPr>
            <w:pStyle w:val="TOC2"/>
            <w:tabs>
              <w:tab w:val="right" w:leader="dot" w:pos="8306"/>
            </w:tabs>
            <w:rPr>
              <w:rFonts w:ascii="黑体" w:eastAsia="黑体" w:hAnsi="黑体" w:cs="黑体"/>
              <w:sz w:val="28"/>
              <w:szCs w:val="28"/>
            </w:rPr>
          </w:pPr>
          <w:hyperlink w:anchor="_Toc12852" w:history="1">
            <w:r>
              <w:rPr>
                <w:rFonts w:ascii="黑体" w:eastAsia="黑体" w:hAnsi="黑体" w:cs="黑体" w:hint="eastAsia"/>
                <w:kern w:val="44"/>
                <w:sz w:val="28"/>
                <w:szCs w:val="28"/>
              </w:rPr>
              <w:t>（二）专业职业面向</w:t>
            </w:r>
            <w:r>
              <w:rPr>
                <w:rFonts w:ascii="黑体" w:eastAsia="黑体" w:hAnsi="黑体" w:cs="黑体" w:hint="eastAsia"/>
                <w:sz w:val="28"/>
                <w:szCs w:val="28"/>
              </w:rPr>
              <w:tab/>
              <w:t>4</w:t>
            </w:r>
          </w:hyperlink>
        </w:p>
        <w:p w14:paraId="0B099DA6" w14:textId="77777777" w:rsidR="00711C62" w:rsidRDefault="00711C62">
          <w:pPr>
            <w:pStyle w:val="TOC2"/>
            <w:tabs>
              <w:tab w:val="right" w:leader="dot" w:pos="8306"/>
            </w:tabs>
            <w:rPr>
              <w:rFonts w:ascii="黑体" w:eastAsia="黑体" w:hAnsi="黑体" w:cs="黑体"/>
              <w:sz w:val="28"/>
              <w:szCs w:val="28"/>
            </w:rPr>
          </w:pPr>
          <w:hyperlink w:anchor="_Toc1434" w:history="1">
            <w:r>
              <w:rPr>
                <w:rFonts w:ascii="黑体" w:eastAsia="黑体" w:hAnsi="黑体" w:cs="黑体" w:hint="eastAsia"/>
                <w:kern w:val="44"/>
                <w:sz w:val="28"/>
                <w:szCs w:val="28"/>
              </w:rPr>
              <w:t>（三）服务区域</w:t>
            </w:r>
            <w:r>
              <w:rPr>
                <w:rFonts w:ascii="黑体" w:eastAsia="黑体" w:hAnsi="黑体" w:cs="黑体" w:hint="eastAsia"/>
                <w:sz w:val="28"/>
                <w:szCs w:val="28"/>
              </w:rPr>
              <w:tab/>
              <w:t>5</w:t>
            </w:r>
          </w:hyperlink>
        </w:p>
        <w:p w14:paraId="0AF1966A" w14:textId="77777777" w:rsidR="00711C62" w:rsidRDefault="00711C62">
          <w:pPr>
            <w:pStyle w:val="TOC2"/>
            <w:tabs>
              <w:tab w:val="right" w:leader="dot" w:pos="8306"/>
            </w:tabs>
            <w:rPr>
              <w:rFonts w:ascii="黑体" w:eastAsia="黑体" w:hAnsi="黑体" w:cs="黑体"/>
              <w:sz w:val="28"/>
              <w:szCs w:val="28"/>
            </w:rPr>
          </w:pPr>
          <w:hyperlink w:anchor="_Toc9068" w:history="1">
            <w:r>
              <w:rPr>
                <w:rFonts w:ascii="黑体" w:eastAsia="黑体" w:hAnsi="黑体" w:cs="黑体" w:hint="eastAsia"/>
                <w:kern w:val="44"/>
                <w:sz w:val="28"/>
                <w:szCs w:val="28"/>
              </w:rPr>
              <w:t>（四）行业发展背景</w:t>
            </w:r>
            <w:r>
              <w:rPr>
                <w:rFonts w:ascii="黑体" w:eastAsia="黑体" w:hAnsi="黑体" w:cs="黑体" w:hint="eastAsia"/>
                <w:sz w:val="28"/>
                <w:szCs w:val="28"/>
              </w:rPr>
              <w:tab/>
              <w:t>6</w:t>
            </w:r>
          </w:hyperlink>
        </w:p>
        <w:p w14:paraId="71242151" w14:textId="77777777" w:rsidR="00711C62" w:rsidRDefault="00711C62">
          <w:pPr>
            <w:pStyle w:val="TOC1"/>
            <w:tabs>
              <w:tab w:val="right" w:leader="dot" w:pos="8306"/>
            </w:tabs>
            <w:rPr>
              <w:rFonts w:ascii="黑体" w:eastAsia="黑体" w:hAnsi="黑体" w:cs="黑体"/>
              <w:sz w:val="28"/>
              <w:szCs w:val="28"/>
            </w:rPr>
          </w:pPr>
          <w:hyperlink w:anchor="_Toc1241" w:history="1">
            <w:r>
              <w:rPr>
                <w:rFonts w:ascii="黑体" w:eastAsia="黑体" w:hAnsi="黑体" w:cs="黑体" w:hint="eastAsia"/>
                <w:sz w:val="28"/>
                <w:szCs w:val="28"/>
              </w:rPr>
              <w:t>三、确定岗位及发展性任务</w:t>
            </w:r>
            <w:r>
              <w:rPr>
                <w:rFonts w:ascii="黑体" w:eastAsia="黑体" w:hAnsi="黑体" w:cs="黑体" w:hint="eastAsia"/>
                <w:sz w:val="28"/>
                <w:szCs w:val="28"/>
              </w:rPr>
              <w:tab/>
              <w:t>7</w:t>
            </w:r>
          </w:hyperlink>
        </w:p>
        <w:p w14:paraId="121F2534" w14:textId="77777777" w:rsidR="00711C62" w:rsidRDefault="00711C62">
          <w:pPr>
            <w:pStyle w:val="TOC1"/>
            <w:tabs>
              <w:tab w:val="right" w:leader="dot" w:pos="8306"/>
            </w:tabs>
            <w:rPr>
              <w:rFonts w:ascii="黑体" w:eastAsia="黑体" w:hAnsi="黑体" w:cs="黑体"/>
              <w:sz w:val="28"/>
              <w:szCs w:val="28"/>
            </w:rPr>
          </w:pPr>
          <w:hyperlink w:anchor="_Toc26390" w:history="1">
            <w:r>
              <w:rPr>
                <w:rFonts w:ascii="黑体" w:eastAsia="黑体" w:hAnsi="黑体" w:cs="黑体" w:hint="eastAsia"/>
                <w:sz w:val="28"/>
                <w:szCs w:val="28"/>
              </w:rPr>
              <w:t>四、典型工作任务及简要描述</w:t>
            </w:r>
            <w:r>
              <w:rPr>
                <w:rFonts w:ascii="黑体" w:eastAsia="黑体" w:hAnsi="黑体" w:cs="黑体" w:hint="eastAsia"/>
                <w:sz w:val="28"/>
                <w:szCs w:val="28"/>
              </w:rPr>
              <w:tab/>
              <w:t>8</w:t>
            </w:r>
          </w:hyperlink>
        </w:p>
        <w:p w14:paraId="4FE2EA45" w14:textId="77777777" w:rsidR="00711C62" w:rsidRDefault="00711C62">
          <w:pPr>
            <w:pStyle w:val="TOC1"/>
            <w:tabs>
              <w:tab w:val="right" w:leader="dot" w:pos="8306"/>
            </w:tabs>
            <w:rPr>
              <w:rFonts w:ascii="黑体" w:eastAsia="黑体" w:hAnsi="黑体" w:cs="黑体"/>
              <w:sz w:val="28"/>
              <w:szCs w:val="28"/>
            </w:rPr>
          </w:pPr>
          <w:hyperlink w:anchor="_Toc18242" w:history="1">
            <w:r>
              <w:rPr>
                <w:rFonts w:ascii="黑体" w:eastAsia="黑体" w:hAnsi="黑体" w:cs="黑体" w:hint="eastAsia"/>
                <w:sz w:val="28"/>
                <w:szCs w:val="28"/>
              </w:rPr>
              <w:t>五、企业实际需要的职业证书</w:t>
            </w:r>
            <w:r>
              <w:rPr>
                <w:rFonts w:ascii="黑体" w:eastAsia="黑体" w:hAnsi="黑体" w:cs="黑体" w:hint="eastAsia"/>
                <w:sz w:val="28"/>
                <w:szCs w:val="28"/>
              </w:rPr>
              <w:tab/>
              <w:t>1</w:t>
            </w:r>
          </w:hyperlink>
          <w:r w:rsidR="00000000">
            <w:rPr>
              <w:rFonts w:ascii="黑体" w:eastAsia="黑体" w:hAnsi="黑体" w:cs="黑体" w:hint="eastAsia"/>
              <w:bCs/>
              <w:sz w:val="28"/>
              <w:szCs w:val="28"/>
            </w:rPr>
            <w:t>0</w:t>
          </w:r>
        </w:p>
        <w:p w14:paraId="4F42439D" w14:textId="77777777" w:rsidR="00711C62" w:rsidRDefault="00711C62">
          <w:pPr>
            <w:pStyle w:val="TOC1"/>
            <w:tabs>
              <w:tab w:val="right" w:leader="dot" w:pos="8306"/>
            </w:tabs>
            <w:rPr>
              <w:rFonts w:ascii="黑体" w:eastAsia="黑体" w:hAnsi="黑体" w:cs="黑体"/>
              <w:sz w:val="28"/>
              <w:szCs w:val="28"/>
            </w:rPr>
          </w:pPr>
          <w:hyperlink w:anchor="_Toc707" w:history="1">
            <w:r>
              <w:rPr>
                <w:rFonts w:ascii="黑体" w:eastAsia="黑体" w:hAnsi="黑体" w:cs="黑体" w:hint="eastAsia"/>
                <w:kern w:val="44"/>
                <w:sz w:val="28"/>
                <w:szCs w:val="28"/>
              </w:rPr>
              <w:t>附表1</w:t>
            </w:r>
            <w:r>
              <w:rPr>
                <w:rFonts w:ascii="黑体" w:eastAsia="黑体" w:hAnsi="黑体" w:cs="黑体" w:hint="eastAsia"/>
                <w:sz w:val="28"/>
                <w:szCs w:val="28"/>
              </w:rPr>
              <w:tab/>
              <w:t>1</w:t>
            </w:r>
          </w:hyperlink>
          <w:r w:rsidR="00000000">
            <w:rPr>
              <w:rFonts w:ascii="黑体" w:eastAsia="黑体" w:hAnsi="黑体" w:cs="黑体" w:hint="eastAsia"/>
              <w:bCs/>
              <w:sz w:val="28"/>
              <w:szCs w:val="28"/>
            </w:rPr>
            <w:t>1</w:t>
          </w:r>
        </w:p>
        <w:p w14:paraId="3C28C31D" w14:textId="77777777" w:rsidR="00711C62" w:rsidRDefault="00711C62">
          <w:pPr>
            <w:pStyle w:val="TOC1"/>
            <w:tabs>
              <w:tab w:val="right" w:leader="dot" w:pos="8306"/>
            </w:tabs>
            <w:rPr>
              <w:rFonts w:ascii="黑体" w:eastAsia="黑体" w:hAnsi="黑体" w:cs="黑体"/>
              <w:sz w:val="28"/>
              <w:szCs w:val="28"/>
            </w:rPr>
          </w:pPr>
          <w:hyperlink w:anchor="_Toc10792" w:history="1">
            <w:r>
              <w:rPr>
                <w:rFonts w:ascii="黑体" w:eastAsia="黑体" w:hAnsi="黑体" w:cs="黑体" w:hint="eastAsia"/>
                <w:kern w:val="44"/>
                <w:sz w:val="28"/>
                <w:szCs w:val="28"/>
              </w:rPr>
              <w:t>数字商务学院</w:t>
            </w:r>
            <w:r>
              <w:rPr>
                <w:rFonts w:ascii="黑体" w:eastAsia="黑体" w:hAnsi="黑体" w:cs="黑体" w:hint="eastAsia"/>
                <w:sz w:val="28"/>
                <w:szCs w:val="28"/>
              </w:rPr>
              <w:tab/>
              <w:t>1</w:t>
            </w:r>
          </w:hyperlink>
          <w:r w:rsidR="00000000">
            <w:rPr>
              <w:rFonts w:ascii="黑体" w:eastAsia="黑体" w:hAnsi="黑体" w:cs="黑体" w:hint="eastAsia"/>
              <w:bCs/>
              <w:sz w:val="28"/>
              <w:szCs w:val="28"/>
            </w:rPr>
            <w:t>1</w:t>
          </w:r>
        </w:p>
        <w:p w14:paraId="02D20AA7" w14:textId="77777777" w:rsidR="00711C62" w:rsidRDefault="00711C62">
          <w:pPr>
            <w:pStyle w:val="TOC1"/>
            <w:tabs>
              <w:tab w:val="right" w:leader="dot" w:pos="8306"/>
            </w:tabs>
            <w:rPr>
              <w:rFonts w:ascii="黑体" w:eastAsia="黑体" w:hAnsi="黑体" w:cs="黑体"/>
              <w:sz w:val="28"/>
              <w:szCs w:val="28"/>
            </w:rPr>
          </w:pPr>
          <w:hyperlink w:anchor="_Toc7281" w:history="1">
            <w:r>
              <w:rPr>
                <w:rFonts w:ascii="黑体" w:eastAsia="黑体" w:hAnsi="黑体" w:cs="黑体" w:hint="eastAsia"/>
                <w:kern w:val="44"/>
                <w:sz w:val="28"/>
                <w:szCs w:val="28"/>
              </w:rPr>
              <w:t>2026级职业本科人才培养方案修订领导小组成员名单</w:t>
            </w:r>
            <w:r>
              <w:rPr>
                <w:rFonts w:ascii="黑体" w:eastAsia="黑体" w:hAnsi="黑体" w:cs="黑体" w:hint="eastAsia"/>
                <w:sz w:val="28"/>
                <w:szCs w:val="28"/>
              </w:rPr>
              <w:tab/>
              <w:t>1</w:t>
            </w:r>
          </w:hyperlink>
          <w:r w:rsidR="00000000">
            <w:rPr>
              <w:rFonts w:ascii="黑体" w:eastAsia="黑体" w:hAnsi="黑体" w:cs="黑体" w:hint="eastAsia"/>
              <w:bCs/>
              <w:sz w:val="28"/>
              <w:szCs w:val="28"/>
            </w:rPr>
            <w:t>1</w:t>
          </w:r>
        </w:p>
        <w:p w14:paraId="4EEF5759" w14:textId="77777777" w:rsidR="00711C62" w:rsidRDefault="00711C62">
          <w:pPr>
            <w:pStyle w:val="TOC1"/>
            <w:tabs>
              <w:tab w:val="right" w:leader="dot" w:pos="8306"/>
            </w:tabs>
            <w:rPr>
              <w:rFonts w:ascii="黑体" w:eastAsia="黑体" w:hAnsi="黑体" w:cs="黑体"/>
              <w:sz w:val="28"/>
              <w:szCs w:val="28"/>
            </w:rPr>
          </w:pPr>
          <w:hyperlink w:anchor="_Toc27036" w:history="1">
            <w:r>
              <w:rPr>
                <w:rFonts w:ascii="黑体" w:eastAsia="黑体" w:hAnsi="黑体" w:cs="黑体" w:hint="eastAsia"/>
                <w:kern w:val="44"/>
                <w:sz w:val="28"/>
                <w:szCs w:val="28"/>
              </w:rPr>
              <w:t>附表2</w:t>
            </w:r>
            <w:r>
              <w:rPr>
                <w:rFonts w:ascii="黑体" w:eastAsia="黑体" w:hAnsi="黑体" w:cs="黑体" w:hint="eastAsia"/>
                <w:sz w:val="28"/>
                <w:szCs w:val="28"/>
              </w:rPr>
              <w:tab/>
              <w:t>1</w:t>
            </w:r>
          </w:hyperlink>
          <w:r w:rsidR="00000000">
            <w:rPr>
              <w:rFonts w:ascii="黑体" w:eastAsia="黑体" w:hAnsi="黑体" w:cs="黑体" w:hint="eastAsia"/>
              <w:bCs/>
              <w:sz w:val="28"/>
              <w:szCs w:val="28"/>
            </w:rPr>
            <w:t>2</w:t>
          </w:r>
        </w:p>
        <w:p w14:paraId="4EF6D164" w14:textId="77777777" w:rsidR="00711C62" w:rsidRDefault="00711C62">
          <w:pPr>
            <w:pStyle w:val="TOC1"/>
            <w:tabs>
              <w:tab w:val="right" w:leader="dot" w:pos="8306"/>
            </w:tabs>
            <w:rPr>
              <w:rFonts w:ascii="黑体" w:eastAsia="黑体" w:hAnsi="黑体" w:cs="黑体"/>
              <w:sz w:val="28"/>
              <w:szCs w:val="28"/>
            </w:rPr>
          </w:pPr>
          <w:hyperlink w:anchor="_Toc15800" w:history="1">
            <w:r>
              <w:rPr>
                <w:rFonts w:ascii="黑体" w:eastAsia="黑体" w:hAnsi="黑体" w:cs="黑体" w:hint="eastAsia"/>
                <w:kern w:val="44"/>
                <w:sz w:val="28"/>
                <w:szCs w:val="28"/>
              </w:rPr>
              <w:t>现代物流管理专业培养方案调研情况记录表</w:t>
            </w:r>
            <w:r>
              <w:rPr>
                <w:rFonts w:ascii="黑体" w:eastAsia="黑体" w:hAnsi="黑体" w:cs="黑体" w:hint="eastAsia"/>
                <w:sz w:val="28"/>
                <w:szCs w:val="28"/>
              </w:rPr>
              <w:tab/>
              <w:t>1</w:t>
            </w:r>
          </w:hyperlink>
          <w:r w:rsidR="00000000">
            <w:rPr>
              <w:rFonts w:ascii="黑体" w:eastAsia="黑体" w:hAnsi="黑体" w:cs="黑体" w:hint="eastAsia"/>
              <w:bCs/>
              <w:sz w:val="28"/>
              <w:szCs w:val="28"/>
            </w:rPr>
            <w:t>2</w:t>
          </w:r>
        </w:p>
        <w:p w14:paraId="6DCBD4EC" w14:textId="77777777" w:rsidR="00711C62" w:rsidRDefault="00000000">
          <w:pPr>
            <w:rPr>
              <w:rFonts w:ascii="楷体" w:eastAsia="楷体" w:hAnsi="楷体" w:cs="楷体"/>
              <w:color w:val="FF0000"/>
              <w:sz w:val="28"/>
              <w:szCs w:val="28"/>
            </w:rPr>
            <w:sectPr w:rsidR="00711C62">
              <w:pgSz w:w="11906" w:h="16838"/>
              <w:pgMar w:top="1440" w:right="1800" w:bottom="1440" w:left="1800" w:header="851" w:footer="992" w:gutter="0"/>
              <w:cols w:space="425"/>
              <w:docGrid w:type="lines" w:linePitch="312"/>
            </w:sectPr>
          </w:pPr>
          <w:r>
            <w:rPr>
              <w:rFonts w:ascii="黑体" w:eastAsia="黑体" w:hAnsi="黑体" w:cs="黑体" w:hint="eastAsia"/>
              <w:bCs/>
              <w:sz w:val="28"/>
              <w:szCs w:val="28"/>
              <w:lang w:val="zh-CN"/>
            </w:rPr>
            <w:fldChar w:fldCharType="end"/>
          </w:r>
        </w:p>
      </w:sdtContent>
    </w:sdt>
    <w:p w14:paraId="3FB45BA5" w14:textId="77777777" w:rsidR="00711C62" w:rsidRDefault="00000000">
      <w:pPr>
        <w:pStyle w:val="1"/>
        <w:spacing w:line="360" w:lineRule="auto"/>
        <w:rPr>
          <w:rFonts w:ascii="黑体" w:eastAsia="黑体" w:hAnsi="黑体"/>
          <w:b w:val="0"/>
          <w:sz w:val="30"/>
          <w:szCs w:val="30"/>
        </w:rPr>
      </w:pPr>
      <w:bookmarkStart w:id="0" w:name="_Toc2451"/>
      <w:r w:rsidRPr="00E4624F">
        <w:rPr>
          <w:rFonts w:ascii="黑体" w:eastAsia="黑体" w:hAnsi="黑体" w:hint="eastAsia"/>
          <w:b w:val="0"/>
          <w:sz w:val="30"/>
          <w:szCs w:val="30"/>
          <w:highlight w:val="yellow"/>
        </w:rPr>
        <w:lastRenderedPageBreak/>
        <w:t>一、调研设计与实施</w:t>
      </w:r>
      <w:bookmarkEnd w:id="0"/>
    </w:p>
    <w:p w14:paraId="052C90CD" w14:textId="77777777" w:rsidR="00070503" w:rsidRDefault="00000000">
      <w:r>
        <w:rPr>
          <w:rFonts w:ascii="宋体" w:hAnsi="宋体"/>
          <w:b/>
          <w:color w:val="C00000"/>
        </w:rPr>
        <w:t>（一）调研目标</w:t>
      </w:r>
    </w:p>
    <w:p w14:paraId="19BBC35E" w14:textId="77777777" w:rsidR="00070503" w:rsidRDefault="00000000">
      <w:r>
        <w:rPr>
          <w:rFonts w:ascii="宋体" w:hAnsi="宋体"/>
          <w:color w:val="C00000"/>
        </w:rPr>
        <w:t>本次修订以国家统计局、交通运输部、国家邮政局公开统计和辽宁、锦州区域产业规划为主要依据，重点核验现代物流管理专业在智慧仓储、运输调度、供应链计划、跨境与冷链物流、电商履约、物流数据分析等岗位上的真实需求。最新可核验的全国口径显示，2024年交通运输、仓储和邮政业增加值为59232亿元，同比增长7.0%；全年货物运输总量578.3亿吨，港口货物吞吐量176亿吨，港口集装箱吞吐量33200万标准箱，快递业务量1751亿件，电子商务交易额464091亿元、实物商品网上零售额127878亿元。这些数据说明，专业修订应从传统仓储运输管理，转向“数智运营+供应链协同+跨境与绿色物流”的复合能力培养。</w:t>
      </w:r>
    </w:p>
    <w:p w14:paraId="5342BE25" w14:textId="77777777" w:rsidR="00070503" w:rsidRDefault="00000000">
      <w:r>
        <w:rPr>
          <w:rFonts w:ascii="宋体" w:hAnsi="宋体"/>
          <w:b/>
          <w:color w:val="C00000"/>
        </w:rPr>
        <w:t>二、总体调研目标</w:t>
      </w:r>
    </w:p>
    <w:p w14:paraId="428578D8" w14:textId="77777777" w:rsidR="00070503" w:rsidRDefault="00000000">
      <w:r>
        <w:rPr>
          <w:rFonts w:ascii="宋体" w:hAnsi="宋体"/>
          <w:color w:val="C00000"/>
        </w:rPr>
        <w:t>对接职业本科层次定位与现代物流产业升级要求，形成“岗位群识别—典型工作任务拆解—核心能力归纳—课程与实训项目调整—证书与竞赛融通”的闭环。调研重点不是泛泛描述物流行业，而是明确学生毕业3年内可进入的初始岗位、3—5年可发展的主管岗位，以及继续成长所需的数据、系统、流程和项目管理能力。</w:t>
      </w:r>
    </w:p>
    <w:p w14:paraId="1579C36C" w14:textId="77777777" w:rsidR="00070503" w:rsidRDefault="00000000">
      <w:r>
        <w:rPr>
          <w:rFonts w:ascii="宋体" w:hAnsi="宋体"/>
          <w:b/>
          <w:color w:val="C00000"/>
        </w:rPr>
        <w:t>核心细分目标</w:t>
      </w:r>
    </w:p>
    <w:p w14:paraId="7B4ACE9D" w14:textId="77777777" w:rsidR="00070503" w:rsidRDefault="00000000">
      <w:r>
        <w:rPr>
          <w:rFonts w:ascii="宋体" w:hAnsi="宋体"/>
          <w:color w:val="C00000"/>
        </w:rPr>
        <w:t>（一）政策与定位目标：落实职业本科人才培养要求，服务辽宁沿海经济带、锦州港口型国家物流枢纽、东北陆海新通道和县域商业体系建设，突出智慧物流、供应链运营、跨境电商物流、冷链物流和绿色低碳物流方向。</w:t>
      </w:r>
    </w:p>
    <w:p w14:paraId="7FE548B4" w14:textId="77777777" w:rsidR="00070503" w:rsidRDefault="00000000">
      <w:r>
        <w:rPr>
          <w:rFonts w:ascii="宋体" w:hAnsi="宋体"/>
          <w:color w:val="C00000"/>
        </w:rPr>
        <w:t>（二）行业与岗位目标：以企业真实岗位为牵引，重点关注仓储运营专员、运输调度员、供应链计划专员、物流数据分析专员、跨境物流/货代操作、冷链物流运营、电商履约运营、物流项目执行等岗位，提取WMS/TMS/OMS系统操作、库存控制、线路优化、异常处理、数据看板、成本核算、客户沟通、质量安全与低碳合规等能力点。</w:t>
      </w:r>
    </w:p>
    <w:p w14:paraId="1A232258" w14:textId="77777777" w:rsidR="00070503" w:rsidRDefault="00000000">
      <w:r>
        <w:rPr>
          <w:rFonts w:ascii="宋体" w:hAnsi="宋体"/>
          <w:color w:val="C00000"/>
        </w:rPr>
        <w:t>（三）课程与教学目标：将《智慧仓储与配送管理》《物流运输管理》《供应链管理》《物流数字化管理》《国际货运代理》《冷链物流管理》《物流成本与绩效管理》等课程与岗位任务重新对齐，增加数据分析、业务流程建模、智能设备协同、绿色包装与碳核算、跨境单证与关务协同等训练内容。</w:t>
      </w:r>
    </w:p>
    <w:p w14:paraId="50E954AC" w14:textId="77777777" w:rsidR="00070503" w:rsidRDefault="00000000">
      <w:r>
        <w:rPr>
          <w:rFonts w:ascii="宋体" w:hAnsi="宋体"/>
          <w:color w:val="C00000"/>
        </w:rPr>
        <w:t>（四）实践与质量目标：围绕京东、顺丰、港口物流、跨境电商和区域制造企业供应链场景，建设可评价的实训项目包；以毕业生就业对口率、岗位任务胜任度、企业满意度、证书获取与竞赛成果、课程项目产出作为培养方案迭代依据。</w:t>
      </w:r>
    </w:p>
    <w:p w14:paraId="226227FF" w14:textId="77777777" w:rsidR="00070503" w:rsidRDefault="00000000">
      <w:r>
        <w:rPr>
          <w:rFonts w:ascii="宋体" w:hAnsi="宋体"/>
          <w:b/>
          <w:color w:val="C00000"/>
        </w:rPr>
        <w:t>（二）调研对象</w:t>
      </w:r>
    </w:p>
    <w:p w14:paraId="2AA52F7D" w14:textId="77777777" w:rsidR="00070503" w:rsidRDefault="00000000">
      <w:r>
        <w:rPr>
          <w:rFonts w:ascii="宋体" w:hAnsi="宋体"/>
          <w:color w:val="C00000"/>
        </w:rPr>
        <w:t>调研对象建议扩大为四类：一是辽宁省内同类院校与职业本科试点专业，重点比较课程体系、实训条件、岗课赛证融通做法；二是京东物流、顺丰、港口/货代、制造企业供应链、冷链与电商履约企业，重点采集岗位职责、招聘要求和系统工具；三是在校生、实习生和毕业生，重点验证课程适配度、岗位转化路径和能力短板；四是政府与行业公开数据，包括国家统计局、交通运输部、国家邮政局、辽宁省及锦州市有关物流、邮政快递、港口、多式联运、电子商务和数字经济的公开统计。</w:t>
      </w:r>
    </w:p>
    <w:p w14:paraId="1E1B9DB0" w14:textId="77777777" w:rsidR="00070503" w:rsidRDefault="00000000">
      <w:r>
        <w:rPr>
          <w:rFonts w:ascii="宋体" w:hAnsi="宋体"/>
          <w:b/>
          <w:color w:val="C00000"/>
        </w:rPr>
        <w:t>（三）调研方式</w:t>
      </w:r>
    </w:p>
    <w:tbl>
      <w:tblPr>
        <w:tblW w:w="0" w:type="auto"/>
        <w:tblLook w:val="04A0" w:firstRow="1" w:lastRow="0" w:firstColumn="1" w:lastColumn="0" w:noHBand="0" w:noVBand="1"/>
      </w:tblPr>
      <w:tblGrid>
        <w:gridCol w:w="2769"/>
        <w:gridCol w:w="2769"/>
        <w:gridCol w:w="2769"/>
      </w:tblGrid>
      <w:tr w:rsidR="00070503" w14:paraId="5703CBFE" w14:textId="77777777">
        <w:tc>
          <w:tcPr>
            <w:tcW w:w="2769" w:type="dxa"/>
          </w:tcPr>
          <w:p w14:paraId="247D2329" w14:textId="77777777" w:rsidR="00070503" w:rsidRDefault="00000000">
            <w:pPr>
              <w:jc w:val="center"/>
            </w:pPr>
            <w:r>
              <w:rPr>
                <w:rFonts w:ascii="宋体" w:hAnsi="宋体"/>
                <w:b/>
                <w:color w:val="C00000"/>
              </w:rPr>
              <w:t>调研对象</w:t>
            </w:r>
          </w:p>
        </w:tc>
        <w:tc>
          <w:tcPr>
            <w:tcW w:w="2769" w:type="dxa"/>
          </w:tcPr>
          <w:p w14:paraId="6FBA948A" w14:textId="77777777" w:rsidR="00070503" w:rsidRDefault="00000000">
            <w:pPr>
              <w:jc w:val="center"/>
            </w:pPr>
            <w:r>
              <w:rPr>
                <w:rFonts w:ascii="宋体" w:hAnsi="宋体"/>
                <w:b/>
                <w:color w:val="C00000"/>
              </w:rPr>
              <w:t>调研方法</w:t>
            </w:r>
          </w:p>
        </w:tc>
        <w:tc>
          <w:tcPr>
            <w:tcW w:w="2769" w:type="dxa"/>
          </w:tcPr>
          <w:p w14:paraId="63E15842" w14:textId="77777777" w:rsidR="00070503" w:rsidRDefault="00000000">
            <w:pPr>
              <w:jc w:val="center"/>
            </w:pPr>
            <w:r>
              <w:rPr>
                <w:rFonts w:ascii="宋体" w:hAnsi="宋体"/>
                <w:b/>
                <w:color w:val="C00000"/>
              </w:rPr>
              <w:t>形成材料</w:t>
            </w:r>
          </w:p>
        </w:tc>
      </w:tr>
      <w:tr w:rsidR="00070503" w14:paraId="0D1BDA8E" w14:textId="77777777">
        <w:tc>
          <w:tcPr>
            <w:tcW w:w="2769" w:type="dxa"/>
          </w:tcPr>
          <w:p w14:paraId="47B5BE51" w14:textId="77777777" w:rsidR="00070503" w:rsidRDefault="00000000">
            <w:r>
              <w:rPr>
                <w:rFonts w:ascii="宋体" w:hAnsi="宋体"/>
                <w:color w:val="C00000"/>
              </w:rPr>
              <w:t>同类院校与专业</w:t>
            </w:r>
          </w:p>
        </w:tc>
        <w:tc>
          <w:tcPr>
            <w:tcW w:w="2769" w:type="dxa"/>
          </w:tcPr>
          <w:p w14:paraId="22530A9C" w14:textId="77777777" w:rsidR="00070503" w:rsidRDefault="00000000">
            <w:r>
              <w:rPr>
                <w:rFonts w:ascii="宋体" w:hAnsi="宋体"/>
                <w:color w:val="C00000"/>
              </w:rPr>
              <w:t>培养方案比对、课程标准比对、公开资料收集、访谈交流</w:t>
            </w:r>
          </w:p>
        </w:tc>
        <w:tc>
          <w:tcPr>
            <w:tcW w:w="2769" w:type="dxa"/>
          </w:tcPr>
          <w:p w14:paraId="66CACCB3" w14:textId="77777777" w:rsidR="00070503" w:rsidRDefault="00000000">
            <w:r>
              <w:rPr>
                <w:rFonts w:ascii="宋体" w:hAnsi="宋体"/>
                <w:color w:val="C00000"/>
              </w:rPr>
              <w:t>课程结构对标表、实训条件差距清单、职业本科定位参考</w:t>
            </w:r>
          </w:p>
        </w:tc>
      </w:tr>
      <w:tr w:rsidR="00070503" w14:paraId="78DB3485" w14:textId="77777777">
        <w:tc>
          <w:tcPr>
            <w:tcW w:w="2769" w:type="dxa"/>
          </w:tcPr>
          <w:p w14:paraId="009C1FCE" w14:textId="77777777" w:rsidR="00070503" w:rsidRDefault="00000000">
            <w:r>
              <w:rPr>
                <w:rFonts w:ascii="宋体" w:hAnsi="宋体"/>
                <w:color w:val="C00000"/>
              </w:rPr>
              <w:lastRenderedPageBreak/>
              <w:t>京东、顺丰、港口/货代、冷链、电商履约、制造供应链企业</w:t>
            </w:r>
          </w:p>
        </w:tc>
        <w:tc>
          <w:tcPr>
            <w:tcW w:w="2769" w:type="dxa"/>
          </w:tcPr>
          <w:p w14:paraId="007CC761" w14:textId="77777777" w:rsidR="00070503" w:rsidRDefault="00000000">
            <w:r>
              <w:rPr>
                <w:rFonts w:ascii="宋体" w:hAnsi="宋体"/>
                <w:color w:val="C00000"/>
              </w:rPr>
              <w:t>企业走访、线上座谈、岗位说明书采集、招聘信息样本分析</w:t>
            </w:r>
          </w:p>
        </w:tc>
        <w:tc>
          <w:tcPr>
            <w:tcW w:w="2769" w:type="dxa"/>
          </w:tcPr>
          <w:p w14:paraId="4DF987CA" w14:textId="77777777" w:rsidR="00070503" w:rsidRDefault="00000000">
            <w:r>
              <w:rPr>
                <w:rFonts w:ascii="宋体" w:hAnsi="宋体"/>
                <w:color w:val="C00000"/>
              </w:rPr>
              <w:t>岗位群清单、典型任务清单、系统工具与证书需求清单</w:t>
            </w:r>
          </w:p>
        </w:tc>
      </w:tr>
      <w:tr w:rsidR="00070503" w14:paraId="7FAAC736" w14:textId="77777777">
        <w:tc>
          <w:tcPr>
            <w:tcW w:w="2769" w:type="dxa"/>
          </w:tcPr>
          <w:p w14:paraId="0C7AC5A2" w14:textId="77777777" w:rsidR="00070503" w:rsidRDefault="00000000">
            <w:r>
              <w:rPr>
                <w:rFonts w:ascii="宋体" w:hAnsi="宋体"/>
                <w:color w:val="C00000"/>
              </w:rPr>
              <w:t>在校生、实习生、毕业生</w:t>
            </w:r>
          </w:p>
        </w:tc>
        <w:tc>
          <w:tcPr>
            <w:tcW w:w="2769" w:type="dxa"/>
          </w:tcPr>
          <w:p w14:paraId="5CFCA04E" w14:textId="77777777" w:rsidR="00070503" w:rsidRDefault="00000000">
            <w:r>
              <w:rPr>
                <w:rFonts w:ascii="宋体" w:hAnsi="宋体"/>
                <w:color w:val="C00000"/>
              </w:rPr>
              <w:t>问卷、访谈、就业跟踪、课程满意度调查</w:t>
            </w:r>
          </w:p>
        </w:tc>
        <w:tc>
          <w:tcPr>
            <w:tcW w:w="2769" w:type="dxa"/>
          </w:tcPr>
          <w:p w14:paraId="629EC2F9" w14:textId="77777777" w:rsidR="00070503" w:rsidRDefault="00000000">
            <w:r>
              <w:rPr>
                <w:rFonts w:ascii="宋体" w:hAnsi="宋体"/>
                <w:color w:val="C00000"/>
              </w:rPr>
              <w:t>课程适配度分析、就业岗位分布、能力短板与实训改进建议</w:t>
            </w:r>
          </w:p>
        </w:tc>
      </w:tr>
      <w:tr w:rsidR="00070503" w14:paraId="63070EB2" w14:textId="77777777">
        <w:tc>
          <w:tcPr>
            <w:tcW w:w="2769" w:type="dxa"/>
          </w:tcPr>
          <w:p w14:paraId="55A94D04" w14:textId="77777777" w:rsidR="00070503" w:rsidRDefault="00000000">
            <w:r>
              <w:rPr>
                <w:rFonts w:ascii="宋体" w:hAnsi="宋体"/>
                <w:color w:val="C00000"/>
              </w:rPr>
              <w:t>政策与行业数据</w:t>
            </w:r>
          </w:p>
        </w:tc>
        <w:tc>
          <w:tcPr>
            <w:tcW w:w="2769" w:type="dxa"/>
          </w:tcPr>
          <w:p w14:paraId="5AFC6998" w14:textId="77777777" w:rsidR="00070503" w:rsidRDefault="00000000">
            <w:r>
              <w:rPr>
                <w:rFonts w:ascii="宋体" w:hAnsi="宋体"/>
                <w:color w:val="C00000"/>
              </w:rPr>
              <w:t>国家统计公报、交通运输和邮政行业公报、辽宁/锦州规划与统计资料研读</w:t>
            </w:r>
          </w:p>
        </w:tc>
        <w:tc>
          <w:tcPr>
            <w:tcW w:w="2769" w:type="dxa"/>
          </w:tcPr>
          <w:p w14:paraId="206BCF93" w14:textId="77777777" w:rsidR="00070503" w:rsidRDefault="00000000">
            <w:r>
              <w:rPr>
                <w:rFonts w:ascii="宋体" w:hAnsi="宋体"/>
                <w:color w:val="C00000"/>
              </w:rPr>
              <w:t>产业发展依据、区域服务定位、数据口径说明</w:t>
            </w:r>
          </w:p>
        </w:tc>
      </w:tr>
    </w:tbl>
    <w:p w14:paraId="20CBA9C5" w14:textId="77777777" w:rsidR="00711C62" w:rsidRDefault="00000000">
      <w:pPr>
        <w:pStyle w:val="1"/>
        <w:spacing w:line="360" w:lineRule="auto"/>
        <w:rPr>
          <w:rFonts w:ascii="黑体" w:eastAsia="黑体" w:hAnsi="黑体"/>
          <w:b w:val="0"/>
          <w:sz w:val="30"/>
          <w:szCs w:val="30"/>
        </w:rPr>
      </w:pPr>
      <w:bookmarkStart w:id="1" w:name="_Toc8722"/>
      <w:r w:rsidRPr="00E4624F">
        <w:rPr>
          <w:rFonts w:ascii="黑体" w:eastAsia="黑体" w:hAnsi="黑体" w:hint="eastAsia"/>
          <w:b w:val="0"/>
          <w:sz w:val="30"/>
          <w:szCs w:val="30"/>
          <w:highlight w:val="yellow"/>
        </w:rPr>
        <w:t>二、现代物流管理专业人才需求分析和预测</w:t>
      </w:r>
      <w:bookmarkEnd w:id="1"/>
    </w:p>
    <w:p w14:paraId="403C9BA5" w14:textId="77777777" w:rsidR="00070503" w:rsidRDefault="00000000">
      <w:r>
        <w:rPr>
          <w:rFonts w:ascii="宋体" w:hAnsi="宋体"/>
          <w:b/>
          <w:color w:val="C00000"/>
        </w:rPr>
        <w:t>（一）专业行业面向</w:t>
      </w:r>
    </w:p>
    <w:p w14:paraId="702BE1CE" w14:textId="77777777" w:rsidR="00070503" w:rsidRDefault="00000000">
      <w:r>
        <w:rPr>
          <w:rFonts w:ascii="宋体" w:hAnsi="宋体"/>
          <w:color w:val="C00000"/>
        </w:rPr>
        <w:t>本专业面向交通运输、仓储和邮政业及现代供应链服务业，重点覆盖智慧仓储与配送、运输组织与调度、供应链计划与采购协同、电商履约与即时配送、国际物流与跨境电商物流、冷链物流、港口与多式联运、制造企业生产物流和物流数据运营等领域。全国数据表明，2024年货物运输总量578.3亿吨、货物运输周转量261948.1亿吨公里，港口货物吞吐量176亿吨，外贸货物吞吐量54亿吨，快递业务量1751亿件；行业规模与业务复杂度同步提升，要求毕业生既懂物流流程，又能使用信息系统和数据工具解决现场问题。</w:t>
      </w:r>
    </w:p>
    <w:p w14:paraId="5E828602" w14:textId="77777777" w:rsidR="00070503" w:rsidRDefault="00000000">
      <w:r>
        <w:rPr>
          <w:rFonts w:ascii="宋体" w:hAnsi="宋体"/>
          <w:b/>
          <w:color w:val="C00000"/>
        </w:rPr>
        <w:t>（二）专业职业面向</w:t>
      </w:r>
    </w:p>
    <w:p w14:paraId="505BE367" w14:textId="77777777" w:rsidR="00070503" w:rsidRDefault="00000000">
      <w:r>
        <w:rPr>
          <w:rFonts w:ascii="宋体" w:hAnsi="宋体"/>
          <w:color w:val="C00000"/>
        </w:rPr>
        <w:t>核心岗位群建议调整为六类：1.智慧仓储与配送运营岗位群，面向仓储运营专员、库内规划员、配送运营专员；2.运输调度与多式联运岗位群，面向运输调度员、运力管理专员、港口/铁路/公路联运操作；3.供应链计划与采购协同岗位群，面向供应链计划专员、采购执行专员、库存控制专员；4.电商与跨境物流岗位群，面向电商履约运营、跨境物流操作、国际货代与单证关务专员；5.冷链与绿色物流岗位群，面向冷链运营、温控质量管理、绿色包装与碳数据采集岗位；6.物流数据与项目运营岗位群，面向物流数据分析助理、WMS/TMS/OMS系统运营、物流项目执行与客户方案助理。</w:t>
      </w:r>
    </w:p>
    <w:p w14:paraId="702FB6BD" w14:textId="77777777" w:rsidR="00070503" w:rsidRDefault="00000000">
      <w:r>
        <w:rPr>
          <w:rFonts w:ascii="宋体" w:hAnsi="宋体"/>
          <w:color w:val="C00000"/>
        </w:rPr>
        <w:t>上述岗位的共同能力从“会执行流程”升级为“会用系统、会看数据、会处理异常、会协同客户与供应商、会控制成本与质量”。因此，人才培养方案中应提高数据分析、系统应用、流程优化、成本绩效、标准化与安全合规、跨境单证、绿色低碳等内容比重。</w:t>
      </w:r>
    </w:p>
    <w:p w14:paraId="71826612" w14:textId="77777777" w:rsidR="00070503" w:rsidRDefault="00000000">
      <w:r>
        <w:rPr>
          <w:rFonts w:ascii="宋体" w:hAnsi="宋体"/>
          <w:b/>
          <w:color w:val="C00000"/>
        </w:rPr>
        <w:t>（三）服务区域</w:t>
      </w:r>
    </w:p>
    <w:p w14:paraId="3292B2A8" w14:textId="77777777" w:rsidR="00070503" w:rsidRDefault="00000000">
      <w:r>
        <w:rPr>
          <w:rFonts w:ascii="宋体" w:hAnsi="宋体"/>
          <w:color w:val="C00000"/>
        </w:rPr>
        <w:t>服务区域建议定位为“立足锦州、服务辽宁、辐射东北陆海新通道和东北亚经贸物流网络”。锦州港口型国家物流枢纽、辽宁沿海经济带、沈阳—大连综合物流枢纽、东北制造业基地和跨境电商业务共同构成专业服务面向。专业不宜只面向单一企业或单一仓储场景，而应覆盖港口物流、生产制造物流、商贸流通物流、农产品冷链、跨境电商物流和县域配送网络。</w:t>
      </w:r>
    </w:p>
    <w:p w14:paraId="40DCA315" w14:textId="77777777" w:rsidR="00070503" w:rsidRDefault="00000000">
      <w:r>
        <w:rPr>
          <w:rFonts w:ascii="宋体" w:hAnsi="宋体"/>
          <w:b/>
          <w:color w:val="C00000"/>
        </w:rPr>
        <w:t>（四）行业发展背景</w:t>
      </w:r>
    </w:p>
    <w:p w14:paraId="6B69447A" w14:textId="77777777" w:rsidR="00070503" w:rsidRDefault="00000000">
      <w:r>
        <w:rPr>
          <w:rFonts w:ascii="宋体" w:hAnsi="宋体"/>
          <w:color w:val="C00000"/>
        </w:rPr>
        <w:t>从全国趋势看，物流业正在从规模扩张转向效率、韧性和绿色低碳并重。2024年交通运输、仓储和邮政业固定资产投资同比增长5.9%，新增港口万吨级及以上码头泊位通过能力27106万吨/年；电子商务交易额464091亿元、实物商品网上零售额127878亿元，说明电商履约、仓配一体和供应链协同仍是需求增量。对职业本科毕业生而言，企业更看重其在现场系统、数据看板、库存策略、运输调度、异常处置、成本核算和项目落地方面的综合能力。</w:t>
      </w:r>
    </w:p>
    <w:p w14:paraId="4074F315" w14:textId="77777777" w:rsidR="00070503" w:rsidRDefault="00000000">
      <w:r>
        <w:rPr>
          <w:rFonts w:ascii="宋体" w:hAnsi="宋体"/>
          <w:color w:val="C00000"/>
        </w:rPr>
        <w:t>从辽宁与锦州场景看，港口型物流枢纽、多式联运、装备制造供应链、农产品与医药冷链、跨境电商和县域商业配送是最需要补强的人才场景。人才培养方案应把“仓储—运输—订单</w:t>
      </w:r>
      <w:r>
        <w:rPr>
          <w:rFonts w:ascii="宋体" w:hAnsi="宋体"/>
          <w:color w:val="C00000"/>
        </w:rPr>
        <w:lastRenderedPageBreak/>
        <w:t>—库存—客户—成本—质量—数据”的全流程作为主线，形成区别于普通专科的系统化设计能力，也区别于普通本科的现场实施与技术技能优势。</w:t>
      </w:r>
    </w:p>
    <w:p w14:paraId="619E42B8" w14:textId="77777777" w:rsidR="00711C62" w:rsidRDefault="00000000">
      <w:pPr>
        <w:pStyle w:val="1"/>
        <w:numPr>
          <w:ilvl w:val="0"/>
          <w:numId w:val="4"/>
        </w:numPr>
        <w:spacing w:line="360" w:lineRule="auto"/>
        <w:rPr>
          <w:rFonts w:ascii="黑体" w:eastAsia="黑体" w:hAnsi="黑体"/>
          <w:b w:val="0"/>
          <w:sz w:val="30"/>
          <w:szCs w:val="30"/>
        </w:rPr>
      </w:pPr>
      <w:bookmarkStart w:id="2" w:name="_Toc1241"/>
      <w:bookmarkEnd w:id="2"/>
      <w:r>
        <w:rPr>
          <w:rFonts w:ascii="宋体" w:hAnsi="宋体"/>
          <w:color w:val="C00000"/>
          <w:sz w:val="21"/>
        </w:rPr>
        <w:t>三、确定岗位及发展性任务</w:t>
      </w:r>
    </w:p>
    <w:p w14:paraId="0F7281BC" w14:textId="77777777" w:rsidR="00070503" w:rsidRDefault="00000000">
      <w:r>
        <w:rPr>
          <w:rFonts w:ascii="宋体" w:hAnsi="宋体"/>
          <w:color w:val="C00000"/>
        </w:rPr>
        <w:t>本专业岗位发展路径建议按“初始岗位—发展岗位—目标岗位”组织，突出毕业生入职即能承担系统操作和现场执行任务，3—5年能够承担班组管理、流程优化和客户项目任务，5年以上具备供应链方案、成本绩效和跨部门协同能力。</w:t>
      </w:r>
    </w:p>
    <w:tbl>
      <w:tblPr>
        <w:tblW w:w="0" w:type="auto"/>
        <w:tblLook w:val="04A0" w:firstRow="1" w:lastRow="0" w:firstColumn="1" w:lastColumn="0" w:noHBand="0" w:noVBand="1"/>
      </w:tblPr>
      <w:tblGrid>
        <w:gridCol w:w="2076"/>
        <w:gridCol w:w="2076"/>
        <w:gridCol w:w="2076"/>
        <w:gridCol w:w="2076"/>
      </w:tblGrid>
      <w:tr w:rsidR="00070503" w14:paraId="7FD6C21C" w14:textId="77777777">
        <w:tc>
          <w:tcPr>
            <w:tcW w:w="2076" w:type="dxa"/>
          </w:tcPr>
          <w:p w14:paraId="36E7CA8F" w14:textId="77777777" w:rsidR="00070503" w:rsidRDefault="00000000">
            <w:pPr>
              <w:jc w:val="center"/>
            </w:pPr>
            <w:r>
              <w:rPr>
                <w:rFonts w:ascii="宋体" w:hAnsi="宋体"/>
                <w:b/>
                <w:color w:val="C00000"/>
              </w:rPr>
              <w:t>岗位层次</w:t>
            </w:r>
          </w:p>
        </w:tc>
        <w:tc>
          <w:tcPr>
            <w:tcW w:w="2076" w:type="dxa"/>
          </w:tcPr>
          <w:p w14:paraId="7552B1CD" w14:textId="77777777" w:rsidR="00070503" w:rsidRDefault="00000000">
            <w:pPr>
              <w:jc w:val="center"/>
            </w:pPr>
            <w:r>
              <w:rPr>
                <w:rFonts w:ascii="宋体" w:hAnsi="宋体"/>
                <w:b/>
                <w:color w:val="C00000"/>
              </w:rPr>
              <w:t>典型核心岗位</w:t>
            </w:r>
          </w:p>
        </w:tc>
        <w:tc>
          <w:tcPr>
            <w:tcW w:w="2076" w:type="dxa"/>
          </w:tcPr>
          <w:p w14:paraId="007C0E39" w14:textId="77777777" w:rsidR="00070503" w:rsidRDefault="00000000">
            <w:pPr>
              <w:jc w:val="center"/>
            </w:pPr>
            <w:r>
              <w:rPr>
                <w:rFonts w:ascii="宋体" w:hAnsi="宋体"/>
                <w:b/>
                <w:color w:val="C00000"/>
              </w:rPr>
              <w:t>主要工作内容</w:t>
            </w:r>
          </w:p>
        </w:tc>
        <w:tc>
          <w:tcPr>
            <w:tcW w:w="2076" w:type="dxa"/>
          </w:tcPr>
          <w:p w14:paraId="323A40DA" w14:textId="77777777" w:rsidR="00070503" w:rsidRDefault="00000000">
            <w:pPr>
              <w:jc w:val="center"/>
            </w:pPr>
            <w:r>
              <w:rPr>
                <w:rFonts w:ascii="宋体" w:hAnsi="宋体"/>
                <w:b/>
                <w:color w:val="C00000"/>
              </w:rPr>
              <w:t>发展性任务</w:t>
            </w:r>
          </w:p>
        </w:tc>
      </w:tr>
      <w:tr w:rsidR="00070503" w14:paraId="437E2DEA" w14:textId="77777777">
        <w:tc>
          <w:tcPr>
            <w:tcW w:w="2076" w:type="dxa"/>
          </w:tcPr>
          <w:p w14:paraId="6CE1AC7C" w14:textId="77777777" w:rsidR="00070503" w:rsidRDefault="00000000">
            <w:r>
              <w:rPr>
                <w:rFonts w:ascii="宋体" w:hAnsi="宋体"/>
                <w:color w:val="C00000"/>
              </w:rPr>
              <w:t>初始岗位（毕业1—2年）</w:t>
            </w:r>
          </w:p>
        </w:tc>
        <w:tc>
          <w:tcPr>
            <w:tcW w:w="2076" w:type="dxa"/>
          </w:tcPr>
          <w:p w14:paraId="28A30051" w14:textId="77777777" w:rsidR="00070503" w:rsidRDefault="00000000">
            <w:r>
              <w:rPr>
                <w:rFonts w:ascii="宋体" w:hAnsi="宋体"/>
                <w:color w:val="C00000"/>
              </w:rPr>
              <w:t>仓储运营专员、运输调度员、电商履约运营、跨境物流操作、冷链运营助理、物流数据助理</w:t>
            </w:r>
          </w:p>
        </w:tc>
        <w:tc>
          <w:tcPr>
            <w:tcW w:w="2076" w:type="dxa"/>
          </w:tcPr>
          <w:p w14:paraId="104FF33A" w14:textId="77777777" w:rsidR="00070503" w:rsidRDefault="00000000">
            <w:r>
              <w:rPr>
                <w:rFonts w:ascii="宋体" w:hAnsi="宋体"/>
                <w:color w:val="C00000"/>
              </w:rPr>
              <w:t>完成入出库、库存盘点、订单履约、车辆调度、单证处理、温控记录、WMS/TMS/OMS数据维护和异常跟进</w:t>
            </w:r>
          </w:p>
        </w:tc>
        <w:tc>
          <w:tcPr>
            <w:tcW w:w="2076" w:type="dxa"/>
          </w:tcPr>
          <w:p w14:paraId="6632BCB4" w14:textId="77777777" w:rsidR="00070503" w:rsidRDefault="00000000">
            <w:r>
              <w:rPr>
                <w:rFonts w:ascii="宋体" w:hAnsi="宋体"/>
                <w:color w:val="C00000"/>
              </w:rPr>
              <w:t>熟练掌握岗位SOP和系统操作，能独立处理一般异常，形成数据记录、服务意识和质量安全意识</w:t>
            </w:r>
          </w:p>
        </w:tc>
      </w:tr>
      <w:tr w:rsidR="00070503" w14:paraId="1B736C4A" w14:textId="77777777">
        <w:tc>
          <w:tcPr>
            <w:tcW w:w="2076" w:type="dxa"/>
          </w:tcPr>
          <w:p w14:paraId="5AB452C2" w14:textId="77777777" w:rsidR="00070503" w:rsidRDefault="00000000">
            <w:r>
              <w:rPr>
                <w:rFonts w:ascii="宋体" w:hAnsi="宋体"/>
                <w:color w:val="C00000"/>
              </w:rPr>
              <w:t>发展岗位（毕业3—5年）</w:t>
            </w:r>
          </w:p>
        </w:tc>
        <w:tc>
          <w:tcPr>
            <w:tcW w:w="2076" w:type="dxa"/>
          </w:tcPr>
          <w:p w14:paraId="52D7B3C4" w14:textId="77777777" w:rsidR="00070503" w:rsidRDefault="00000000">
            <w:r>
              <w:rPr>
                <w:rFonts w:ascii="宋体" w:hAnsi="宋体"/>
                <w:color w:val="C00000"/>
              </w:rPr>
              <w:t>仓储/运输主管、供应链计划专员、物流项目执行、货代/关务主管、冷链质量管理员</w:t>
            </w:r>
          </w:p>
        </w:tc>
        <w:tc>
          <w:tcPr>
            <w:tcW w:w="2076" w:type="dxa"/>
          </w:tcPr>
          <w:p w14:paraId="3818577F" w14:textId="77777777" w:rsidR="00070503" w:rsidRDefault="00000000">
            <w:r>
              <w:rPr>
                <w:rFonts w:ascii="宋体" w:hAnsi="宋体"/>
                <w:color w:val="C00000"/>
              </w:rPr>
              <w:t>组织班组作业，制定排班和运输计划，开展库存控制、供应商协同、项目进度跟踪、成本核算和客户沟通</w:t>
            </w:r>
          </w:p>
        </w:tc>
        <w:tc>
          <w:tcPr>
            <w:tcW w:w="2076" w:type="dxa"/>
          </w:tcPr>
          <w:p w14:paraId="18E16F31" w14:textId="77777777" w:rsidR="00070503" w:rsidRDefault="00000000">
            <w:r>
              <w:rPr>
                <w:rFonts w:ascii="宋体" w:hAnsi="宋体"/>
                <w:color w:val="C00000"/>
              </w:rPr>
              <w:t>具备流程优化、KPI分析、跨部门协同、成本控制和项目复盘能力，能够带教新人并参与方案设计</w:t>
            </w:r>
          </w:p>
        </w:tc>
      </w:tr>
      <w:tr w:rsidR="00070503" w14:paraId="7E5B403C" w14:textId="77777777">
        <w:tc>
          <w:tcPr>
            <w:tcW w:w="2076" w:type="dxa"/>
          </w:tcPr>
          <w:p w14:paraId="360E2348" w14:textId="77777777" w:rsidR="00070503" w:rsidRDefault="00000000">
            <w:r>
              <w:rPr>
                <w:rFonts w:ascii="宋体" w:hAnsi="宋体"/>
                <w:color w:val="C00000"/>
              </w:rPr>
              <w:t>目标岗位（毕业5年以上）</w:t>
            </w:r>
          </w:p>
        </w:tc>
        <w:tc>
          <w:tcPr>
            <w:tcW w:w="2076" w:type="dxa"/>
          </w:tcPr>
          <w:p w14:paraId="576C572C" w14:textId="77777777" w:rsidR="00070503" w:rsidRDefault="00000000">
            <w:r>
              <w:rPr>
                <w:rFonts w:ascii="宋体" w:hAnsi="宋体"/>
                <w:color w:val="C00000"/>
              </w:rPr>
              <w:t>物流运营经理、供应链主管、物流项目经理、区域仓配负责人、跨境/冷链业务负责人</w:t>
            </w:r>
          </w:p>
        </w:tc>
        <w:tc>
          <w:tcPr>
            <w:tcW w:w="2076" w:type="dxa"/>
          </w:tcPr>
          <w:p w14:paraId="725920E7" w14:textId="77777777" w:rsidR="00070503" w:rsidRDefault="00000000">
            <w:r>
              <w:rPr>
                <w:rFonts w:ascii="宋体" w:hAnsi="宋体"/>
                <w:color w:val="C00000"/>
              </w:rPr>
              <w:t>负责区域或项目整体运营，设计仓配与运输方案，统筹客户、供应商、系统、成本、质量与安全合规</w:t>
            </w:r>
          </w:p>
        </w:tc>
        <w:tc>
          <w:tcPr>
            <w:tcW w:w="2076" w:type="dxa"/>
          </w:tcPr>
          <w:p w14:paraId="605029AA" w14:textId="77777777" w:rsidR="00070503" w:rsidRDefault="00000000">
            <w:r>
              <w:rPr>
                <w:rFonts w:ascii="宋体" w:hAnsi="宋体"/>
                <w:color w:val="C00000"/>
              </w:rPr>
              <w:t>具备供应链系统思维、数据决策、商务沟通、风险管理和持续改善能力，能够推动企业物流数字化升级</w:t>
            </w:r>
          </w:p>
        </w:tc>
      </w:tr>
    </w:tbl>
    <w:p w14:paraId="0DBC4A11" w14:textId="77777777" w:rsidR="00711C62" w:rsidRDefault="00000000">
      <w:pPr>
        <w:pStyle w:val="1"/>
        <w:spacing w:line="360" w:lineRule="auto"/>
        <w:rPr>
          <w:rFonts w:ascii="黑体" w:eastAsia="黑体" w:hAnsi="黑体"/>
          <w:b w:val="0"/>
          <w:sz w:val="30"/>
          <w:szCs w:val="30"/>
        </w:rPr>
      </w:pPr>
      <w:bookmarkStart w:id="3" w:name="_Toc26390"/>
      <w:r w:rsidRPr="00E4624F">
        <w:rPr>
          <w:rFonts w:ascii="黑体" w:eastAsia="黑体" w:hAnsi="黑体" w:hint="eastAsia"/>
          <w:b w:val="0"/>
          <w:sz w:val="30"/>
          <w:szCs w:val="30"/>
          <w:highlight w:val="yellow"/>
        </w:rPr>
        <w:t>四、典型工作任务及简要描述</w:t>
      </w:r>
      <w:bookmarkEnd w:id="3"/>
    </w:p>
    <w:tbl>
      <w:tblPr>
        <w:tblW w:w="0" w:type="auto"/>
        <w:tblLook w:val="04A0" w:firstRow="1" w:lastRow="0" w:firstColumn="1" w:lastColumn="0" w:noHBand="0" w:noVBand="1"/>
      </w:tblPr>
      <w:tblGrid>
        <w:gridCol w:w="2076"/>
        <w:gridCol w:w="2076"/>
        <w:gridCol w:w="2076"/>
        <w:gridCol w:w="2076"/>
      </w:tblGrid>
      <w:tr w:rsidR="00070503" w14:paraId="7E796EF0" w14:textId="77777777">
        <w:tc>
          <w:tcPr>
            <w:tcW w:w="2076" w:type="dxa"/>
          </w:tcPr>
          <w:p w14:paraId="0B7222DB" w14:textId="77777777" w:rsidR="00070503" w:rsidRDefault="00000000">
            <w:pPr>
              <w:jc w:val="center"/>
            </w:pPr>
            <w:r>
              <w:rPr>
                <w:rFonts w:ascii="宋体" w:hAnsi="宋体"/>
                <w:b/>
                <w:color w:val="C00000"/>
              </w:rPr>
              <w:t>序号</w:t>
            </w:r>
          </w:p>
        </w:tc>
        <w:tc>
          <w:tcPr>
            <w:tcW w:w="2076" w:type="dxa"/>
          </w:tcPr>
          <w:p w14:paraId="34AFD346" w14:textId="77777777" w:rsidR="00070503" w:rsidRDefault="00000000">
            <w:pPr>
              <w:jc w:val="center"/>
            </w:pPr>
            <w:r>
              <w:rPr>
                <w:rFonts w:ascii="宋体" w:hAnsi="宋体"/>
                <w:b/>
                <w:color w:val="C00000"/>
              </w:rPr>
              <w:t>对应核心课程</w:t>
            </w:r>
          </w:p>
        </w:tc>
        <w:tc>
          <w:tcPr>
            <w:tcW w:w="2076" w:type="dxa"/>
          </w:tcPr>
          <w:p w14:paraId="5848E23F" w14:textId="77777777" w:rsidR="00070503" w:rsidRDefault="00000000">
            <w:pPr>
              <w:jc w:val="center"/>
            </w:pPr>
            <w:r>
              <w:rPr>
                <w:rFonts w:ascii="宋体" w:hAnsi="宋体"/>
                <w:b/>
                <w:color w:val="C00000"/>
              </w:rPr>
              <w:t>典型工作任务</w:t>
            </w:r>
          </w:p>
        </w:tc>
        <w:tc>
          <w:tcPr>
            <w:tcW w:w="2076" w:type="dxa"/>
          </w:tcPr>
          <w:p w14:paraId="7F1C5F1A" w14:textId="77777777" w:rsidR="00070503" w:rsidRDefault="00000000">
            <w:pPr>
              <w:jc w:val="center"/>
            </w:pPr>
            <w:r>
              <w:rPr>
                <w:rFonts w:ascii="宋体" w:hAnsi="宋体"/>
                <w:b/>
                <w:color w:val="C00000"/>
              </w:rPr>
              <w:t>任务简要描述</w:t>
            </w:r>
          </w:p>
        </w:tc>
      </w:tr>
      <w:tr w:rsidR="00070503" w14:paraId="2EEADA66" w14:textId="77777777">
        <w:tc>
          <w:tcPr>
            <w:tcW w:w="2076" w:type="dxa"/>
          </w:tcPr>
          <w:p w14:paraId="13A1EF31" w14:textId="77777777" w:rsidR="00070503" w:rsidRDefault="00000000">
            <w:r>
              <w:rPr>
                <w:rFonts w:ascii="宋体" w:hAnsi="宋体"/>
                <w:color w:val="C00000"/>
              </w:rPr>
              <w:t>1</w:t>
            </w:r>
          </w:p>
        </w:tc>
        <w:tc>
          <w:tcPr>
            <w:tcW w:w="2076" w:type="dxa"/>
          </w:tcPr>
          <w:p w14:paraId="4661E3F9" w14:textId="77777777" w:rsidR="00070503" w:rsidRDefault="00000000">
            <w:r>
              <w:rPr>
                <w:rFonts w:ascii="宋体" w:hAnsi="宋体"/>
                <w:color w:val="C00000"/>
              </w:rPr>
              <w:t>智慧仓储与配送管理</w:t>
            </w:r>
          </w:p>
        </w:tc>
        <w:tc>
          <w:tcPr>
            <w:tcW w:w="2076" w:type="dxa"/>
          </w:tcPr>
          <w:p w14:paraId="347391A3" w14:textId="77777777" w:rsidR="00070503" w:rsidRDefault="00000000">
            <w:r>
              <w:rPr>
                <w:rFonts w:ascii="宋体" w:hAnsi="宋体"/>
                <w:color w:val="C00000"/>
              </w:rPr>
              <w:t>仓储作业流程设计与库位优化</w:t>
            </w:r>
          </w:p>
        </w:tc>
        <w:tc>
          <w:tcPr>
            <w:tcW w:w="2076" w:type="dxa"/>
          </w:tcPr>
          <w:p w14:paraId="50A6ED4F" w14:textId="77777777" w:rsidR="00070503" w:rsidRDefault="00000000">
            <w:r>
              <w:rPr>
                <w:rFonts w:ascii="宋体" w:hAnsi="宋体"/>
                <w:color w:val="C00000"/>
              </w:rPr>
              <w:t>依据订单结构和SKU特征，完成收货、上架、拣选、复核、包装、出库流程设计，使用WMS进行库位、批次、盘点和异常管理。</w:t>
            </w:r>
          </w:p>
        </w:tc>
      </w:tr>
      <w:tr w:rsidR="00070503" w14:paraId="63D92802" w14:textId="77777777">
        <w:tc>
          <w:tcPr>
            <w:tcW w:w="2076" w:type="dxa"/>
          </w:tcPr>
          <w:p w14:paraId="02C947B6" w14:textId="77777777" w:rsidR="00070503" w:rsidRDefault="00000000">
            <w:r>
              <w:rPr>
                <w:rFonts w:ascii="宋体" w:hAnsi="宋体"/>
                <w:color w:val="C00000"/>
              </w:rPr>
              <w:t>2</w:t>
            </w:r>
          </w:p>
        </w:tc>
        <w:tc>
          <w:tcPr>
            <w:tcW w:w="2076" w:type="dxa"/>
          </w:tcPr>
          <w:p w14:paraId="7ED0BD9F" w14:textId="77777777" w:rsidR="00070503" w:rsidRDefault="00000000">
            <w:r>
              <w:rPr>
                <w:rFonts w:ascii="宋体" w:hAnsi="宋体"/>
                <w:color w:val="C00000"/>
              </w:rPr>
              <w:t>物流运输管理</w:t>
            </w:r>
          </w:p>
        </w:tc>
        <w:tc>
          <w:tcPr>
            <w:tcW w:w="2076" w:type="dxa"/>
          </w:tcPr>
          <w:p w14:paraId="290778EC" w14:textId="77777777" w:rsidR="00070503" w:rsidRDefault="00000000">
            <w:r>
              <w:rPr>
                <w:rFonts w:ascii="宋体" w:hAnsi="宋体"/>
                <w:color w:val="C00000"/>
              </w:rPr>
              <w:t>运输方案设计与调度执行</w:t>
            </w:r>
          </w:p>
        </w:tc>
        <w:tc>
          <w:tcPr>
            <w:tcW w:w="2076" w:type="dxa"/>
          </w:tcPr>
          <w:p w14:paraId="1EB6BF64" w14:textId="77777777" w:rsidR="00070503" w:rsidRDefault="00000000">
            <w:r>
              <w:rPr>
                <w:rFonts w:ascii="宋体" w:hAnsi="宋体"/>
                <w:color w:val="C00000"/>
              </w:rPr>
              <w:t>根据时效、成本、货物属性和服务承诺选择运输方式，完成车辆/运力调度、线</w:t>
            </w:r>
            <w:r>
              <w:rPr>
                <w:rFonts w:ascii="宋体" w:hAnsi="宋体"/>
                <w:color w:val="C00000"/>
              </w:rPr>
              <w:lastRenderedPageBreak/>
              <w:t>路规划、在途跟踪、异常处理和运费核算。</w:t>
            </w:r>
          </w:p>
        </w:tc>
      </w:tr>
      <w:tr w:rsidR="00070503" w14:paraId="56347C1C" w14:textId="77777777">
        <w:tc>
          <w:tcPr>
            <w:tcW w:w="2076" w:type="dxa"/>
          </w:tcPr>
          <w:p w14:paraId="1CE0B5E9" w14:textId="77777777" w:rsidR="00070503" w:rsidRDefault="00000000">
            <w:r>
              <w:rPr>
                <w:rFonts w:ascii="宋体" w:hAnsi="宋体"/>
                <w:color w:val="C00000"/>
              </w:rPr>
              <w:lastRenderedPageBreak/>
              <w:t>3</w:t>
            </w:r>
          </w:p>
        </w:tc>
        <w:tc>
          <w:tcPr>
            <w:tcW w:w="2076" w:type="dxa"/>
          </w:tcPr>
          <w:p w14:paraId="73AF75AC" w14:textId="77777777" w:rsidR="00070503" w:rsidRDefault="00000000">
            <w:r>
              <w:rPr>
                <w:rFonts w:ascii="宋体" w:hAnsi="宋体"/>
                <w:color w:val="C00000"/>
              </w:rPr>
              <w:t>供应链管理</w:t>
            </w:r>
          </w:p>
        </w:tc>
        <w:tc>
          <w:tcPr>
            <w:tcW w:w="2076" w:type="dxa"/>
          </w:tcPr>
          <w:p w14:paraId="2D423302" w14:textId="77777777" w:rsidR="00070503" w:rsidRDefault="00000000">
            <w:r>
              <w:rPr>
                <w:rFonts w:ascii="宋体" w:hAnsi="宋体"/>
                <w:color w:val="C00000"/>
              </w:rPr>
              <w:t>需求计划、库存控制与供应链协同</w:t>
            </w:r>
          </w:p>
        </w:tc>
        <w:tc>
          <w:tcPr>
            <w:tcW w:w="2076" w:type="dxa"/>
          </w:tcPr>
          <w:p w14:paraId="5FABA060" w14:textId="77777777" w:rsidR="00070503" w:rsidRDefault="00000000">
            <w:r>
              <w:rPr>
                <w:rFonts w:ascii="宋体" w:hAnsi="宋体"/>
                <w:color w:val="C00000"/>
              </w:rPr>
              <w:t>基于销售预测、库存周转和供应商交付周期制定补货计划，设置安全库存，跟踪缺货、滞销、呆滞料和供应风险。</w:t>
            </w:r>
          </w:p>
        </w:tc>
      </w:tr>
      <w:tr w:rsidR="00070503" w14:paraId="1AADB039" w14:textId="77777777">
        <w:tc>
          <w:tcPr>
            <w:tcW w:w="2076" w:type="dxa"/>
          </w:tcPr>
          <w:p w14:paraId="368A13F7" w14:textId="77777777" w:rsidR="00070503" w:rsidRDefault="00000000">
            <w:r>
              <w:rPr>
                <w:rFonts w:ascii="宋体" w:hAnsi="宋体"/>
                <w:color w:val="C00000"/>
              </w:rPr>
              <w:t>4</w:t>
            </w:r>
          </w:p>
        </w:tc>
        <w:tc>
          <w:tcPr>
            <w:tcW w:w="2076" w:type="dxa"/>
          </w:tcPr>
          <w:p w14:paraId="6A2CC3BE" w14:textId="77777777" w:rsidR="00070503" w:rsidRDefault="00000000">
            <w:r>
              <w:rPr>
                <w:rFonts w:ascii="宋体" w:hAnsi="宋体"/>
                <w:color w:val="C00000"/>
              </w:rPr>
              <w:t>采购管理</w:t>
            </w:r>
          </w:p>
        </w:tc>
        <w:tc>
          <w:tcPr>
            <w:tcW w:w="2076" w:type="dxa"/>
          </w:tcPr>
          <w:p w14:paraId="525E4822" w14:textId="77777777" w:rsidR="00070503" w:rsidRDefault="00000000">
            <w:r>
              <w:rPr>
                <w:rFonts w:ascii="宋体" w:hAnsi="宋体"/>
                <w:color w:val="C00000"/>
              </w:rPr>
              <w:t>采购执行与供应商管理</w:t>
            </w:r>
          </w:p>
        </w:tc>
        <w:tc>
          <w:tcPr>
            <w:tcW w:w="2076" w:type="dxa"/>
          </w:tcPr>
          <w:p w14:paraId="060220B7" w14:textId="77777777" w:rsidR="00070503" w:rsidRDefault="00000000">
            <w:r>
              <w:rPr>
                <w:rFonts w:ascii="宋体" w:hAnsi="宋体"/>
                <w:color w:val="C00000"/>
              </w:rPr>
              <w:t>完成采购需求确认、询报价、下单、到货跟踪、验收入库、对账和供应商绩效记录，支持成本与质量改进。</w:t>
            </w:r>
          </w:p>
        </w:tc>
      </w:tr>
      <w:tr w:rsidR="00070503" w14:paraId="72D1B477" w14:textId="77777777">
        <w:tc>
          <w:tcPr>
            <w:tcW w:w="2076" w:type="dxa"/>
          </w:tcPr>
          <w:p w14:paraId="144E46D6" w14:textId="77777777" w:rsidR="00070503" w:rsidRDefault="00000000">
            <w:r>
              <w:rPr>
                <w:rFonts w:ascii="宋体" w:hAnsi="宋体"/>
                <w:color w:val="C00000"/>
              </w:rPr>
              <w:t>5</w:t>
            </w:r>
          </w:p>
        </w:tc>
        <w:tc>
          <w:tcPr>
            <w:tcW w:w="2076" w:type="dxa"/>
          </w:tcPr>
          <w:p w14:paraId="1A004833" w14:textId="77777777" w:rsidR="00070503" w:rsidRDefault="00000000">
            <w:r>
              <w:rPr>
                <w:rFonts w:ascii="宋体" w:hAnsi="宋体"/>
                <w:color w:val="C00000"/>
              </w:rPr>
              <w:t>物流数字化管理</w:t>
            </w:r>
          </w:p>
        </w:tc>
        <w:tc>
          <w:tcPr>
            <w:tcW w:w="2076" w:type="dxa"/>
          </w:tcPr>
          <w:p w14:paraId="17DE98CF" w14:textId="77777777" w:rsidR="00070503" w:rsidRDefault="00000000">
            <w:r>
              <w:rPr>
                <w:rFonts w:ascii="宋体" w:hAnsi="宋体"/>
                <w:color w:val="C00000"/>
              </w:rPr>
              <w:t>物流数据采集、清洗与运营看板制作</w:t>
            </w:r>
          </w:p>
        </w:tc>
        <w:tc>
          <w:tcPr>
            <w:tcW w:w="2076" w:type="dxa"/>
          </w:tcPr>
          <w:p w14:paraId="5198ED3A" w14:textId="77777777" w:rsidR="00070503" w:rsidRDefault="00000000">
            <w:r>
              <w:rPr>
                <w:rFonts w:ascii="宋体" w:hAnsi="宋体"/>
                <w:color w:val="C00000"/>
              </w:rPr>
              <w:t>从WMS/TMS/OMS、订单平台和设备端采集数据，完成指标口径整理、异常识别、可视化看板和运营改进建议。</w:t>
            </w:r>
          </w:p>
        </w:tc>
      </w:tr>
      <w:tr w:rsidR="00070503" w14:paraId="21084C21" w14:textId="77777777">
        <w:tc>
          <w:tcPr>
            <w:tcW w:w="2076" w:type="dxa"/>
          </w:tcPr>
          <w:p w14:paraId="720536BC" w14:textId="77777777" w:rsidR="00070503" w:rsidRDefault="00000000">
            <w:r>
              <w:rPr>
                <w:rFonts w:ascii="宋体" w:hAnsi="宋体"/>
                <w:color w:val="C00000"/>
              </w:rPr>
              <w:t>6</w:t>
            </w:r>
          </w:p>
        </w:tc>
        <w:tc>
          <w:tcPr>
            <w:tcW w:w="2076" w:type="dxa"/>
          </w:tcPr>
          <w:p w14:paraId="4D11ADBA" w14:textId="77777777" w:rsidR="00070503" w:rsidRDefault="00000000">
            <w:r>
              <w:rPr>
                <w:rFonts w:ascii="宋体" w:hAnsi="宋体"/>
                <w:color w:val="C00000"/>
              </w:rPr>
              <w:t>物流信息系统规划与设计</w:t>
            </w:r>
          </w:p>
        </w:tc>
        <w:tc>
          <w:tcPr>
            <w:tcW w:w="2076" w:type="dxa"/>
          </w:tcPr>
          <w:p w14:paraId="3A4293E9" w14:textId="77777777" w:rsidR="00070503" w:rsidRDefault="00000000">
            <w:r>
              <w:rPr>
                <w:rFonts w:ascii="宋体" w:hAnsi="宋体"/>
                <w:color w:val="C00000"/>
              </w:rPr>
              <w:t>WMS/TMS/OMS系统配置与基础维护</w:t>
            </w:r>
          </w:p>
        </w:tc>
        <w:tc>
          <w:tcPr>
            <w:tcW w:w="2076" w:type="dxa"/>
          </w:tcPr>
          <w:p w14:paraId="2731153B" w14:textId="77777777" w:rsidR="00070503" w:rsidRDefault="00000000">
            <w:r>
              <w:rPr>
                <w:rFonts w:ascii="宋体" w:hAnsi="宋体"/>
                <w:color w:val="C00000"/>
              </w:rPr>
              <w:t>维护商品、库位、车辆、客户、运价和路由等主数据，处理系统单据、状态更新、权限配置和基础报表。</w:t>
            </w:r>
          </w:p>
        </w:tc>
      </w:tr>
      <w:tr w:rsidR="00070503" w14:paraId="0F4E197C" w14:textId="77777777">
        <w:tc>
          <w:tcPr>
            <w:tcW w:w="2076" w:type="dxa"/>
          </w:tcPr>
          <w:p w14:paraId="565D63B5" w14:textId="77777777" w:rsidR="00070503" w:rsidRDefault="00000000">
            <w:r>
              <w:rPr>
                <w:rFonts w:ascii="宋体" w:hAnsi="宋体"/>
                <w:color w:val="C00000"/>
              </w:rPr>
              <w:t>7</w:t>
            </w:r>
          </w:p>
        </w:tc>
        <w:tc>
          <w:tcPr>
            <w:tcW w:w="2076" w:type="dxa"/>
          </w:tcPr>
          <w:p w14:paraId="57C6E8CD" w14:textId="77777777" w:rsidR="00070503" w:rsidRDefault="00000000">
            <w:r>
              <w:rPr>
                <w:rFonts w:ascii="宋体" w:hAnsi="宋体"/>
                <w:color w:val="C00000"/>
              </w:rPr>
              <w:t>电商物流运营</w:t>
            </w:r>
          </w:p>
        </w:tc>
        <w:tc>
          <w:tcPr>
            <w:tcW w:w="2076" w:type="dxa"/>
          </w:tcPr>
          <w:p w14:paraId="04DDD658" w14:textId="77777777" w:rsidR="00070503" w:rsidRDefault="00000000">
            <w:r>
              <w:rPr>
                <w:rFonts w:ascii="宋体" w:hAnsi="宋体"/>
                <w:color w:val="C00000"/>
              </w:rPr>
              <w:t>订单履约与大促保障</w:t>
            </w:r>
          </w:p>
        </w:tc>
        <w:tc>
          <w:tcPr>
            <w:tcW w:w="2076" w:type="dxa"/>
          </w:tcPr>
          <w:p w14:paraId="4D74A797" w14:textId="77777777" w:rsidR="00070503" w:rsidRDefault="00000000">
            <w:r>
              <w:rPr>
                <w:rFonts w:ascii="宋体" w:hAnsi="宋体"/>
                <w:color w:val="C00000"/>
              </w:rPr>
              <w:t>组织电商订单拣货、打包、发运和退换货处理，制定大促期间人力、库位、运力、包装与客服异常预案。</w:t>
            </w:r>
          </w:p>
        </w:tc>
      </w:tr>
      <w:tr w:rsidR="00070503" w14:paraId="2445D8EB" w14:textId="77777777">
        <w:tc>
          <w:tcPr>
            <w:tcW w:w="2076" w:type="dxa"/>
          </w:tcPr>
          <w:p w14:paraId="4234646B" w14:textId="77777777" w:rsidR="00070503" w:rsidRDefault="00000000">
            <w:r>
              <w:rPr>
                <w:rFonts w:ascii="宋体" w:hAnsi="宋体"/>
                <w:color w:val="C00000"/>
              </w:rPr>
              <w:t>8</w:t>
            </w:r>
          </w:p>
        </w:tc>
        <w:tc>
          <w:tcPr>
            <w:tcW w:w="2076" w:type="dxa"/>
          </w:tcPr>
          <w:p w14:paraId="6EFD2373" w14:textId="77777777" w:rsidR="00070503" w:rsidRDefault="00000000">
            <w:r>
              <w:rPr>
                <w:rFonts w:ascii="宋体" w:hAnsi="宋体"/>
                <w:color w:val="C00000"/>
              </w:rPr>
              <w:t>国际货运代理/国际物流实务</w:t>
            </w:r>
          </w:p>
        </w:tc>
        <w:tc>
          <w:tcPr>
            <w:tcW w:w="2076" w:type="dxa"/>
          </w:tcPr>
          <w:p w14:paraId="0045F708" w14:textId="77777777" w:rsidR="00070503" w:rsidRDefault="00000000">
            <w:r>
              <w:rPr>
                <w:rFonts w:ascii="宋体" w:hAnsi="宋体"/>
                <w:color w:val="C00000"/>
              </w:rPr>
              <w:t>国际货运订舱、单证与关务协同</w:t>
            </w:r>
          </w:p>
        </w:tc>
        <w:tc>
          <w:tcPr>
            <w:tcW w:w="2076" w:type="dxa"/>
          </w:tcPr>
          <w:p w14:paraId="172291F3" w14:textId="77777777" w:rsidR="00070503" w:rsidRDefault="00000000">
            <w:r>
              <w:rPr>
                <w:rFonts w:ascii="宋体" w:hAnsi="宋体"/>
                <w:color w:val="C00000"/>
              </w:rPr>
              <w:t>完成订舱、报关报检资料准备、提单与运费核算、货物跟踪和跨境运输衔接，配合处理通关异常。</w:t>
            </w:r>
          </w:p>
        </w:tc>
      </w:tr>
      <w:tr w:rsidR="00070503" w14:paraId="4E58300E" w14:textId="77777777">
        <w:tc>
          <w:tcPr>
            <w:tcW w:w="2076" w:type="dxa"/>
          </w:tcPr>
          <w:p w14:paraId="269F75B6" w14:textId="77777777" w:rsidR="00070503" w:rsidRDefault="00000000">
            <w:r>
              <w:rPr>
                <w:rFonts w:ascii="宋体" w:hAnsi="宋体"/>
                <w:color w:val="C00000"/>
              </w:rPr>
              <w:t>9</w:t>
            </w:r>
          </w:p>
        </w:tc>
        <w:tc>
          <w:tcPr>
            <w:tcW w:w="2076" w:type="dxa"/>
          </w:tcPr>
          <w:p w14:paraId="4E7397F7" w14:textId="77777777" w:rsidR="00070503" w:rsidRDefault="00000000">
            <w:r>
              <w:rPr>
                <w:rFonts w:ascii="宋体" w:hAnsi="宋体"/>
                <w:color w:val="C00000"/>
              </w:rPr>
              <w:t>冷链物流管理</w:t>
            </w:r>
          </w:p>
        </w:tc>
        <w:tc>
          <w:tcPr>
            <w:tcW w:w="2076" w:type="dxa"/>
          </w:tcPr>
          <w:p w14:paraId="4399B832" w14:textId="77777777" w:rsidR="00070503" w:rsidRDefault="00000000">
            <w:r>
              <w:rPr>
                <w:rFonts w:ascii="宋体" w:hAnsi="宋体"/>
                <w:color w:val="C00000"/>
              </w:rPr>
              <w:t>冷链温控流程与质量追溯</w:t>
            </w:r>
          </w:p>
        </w:tc>
        <w:tc>
          <w:tcPr>
            <w:tcW w:w="2076" w:type="dxa"/>
          </w:tcPr>
          <w:p w14:paraId="7B3C2B5B" w14:textId="77777777" w:rsidR="00070503" w:rsidRDefault="00000000">
            <w:r>
              <w:rPr>
                <w:rFonts w:ascii="宋体" w:hAnsi="宋体"/>
                <w:color w:val="C00000"/>
              </w:rPr>
              <w:t>制定冷链仓储和运输方案，监控温湿度、时效、包装和交接记录，处理断链风险并形成追溯资料。</w:t>
            </w:r>
          </w:p>
        </w:tc>
      </w:tr>
      <w:tr w:rsidR="00070503" w14:paraId="0932FEC5" w14:textId="77777777">
        <w:tc>
          <w:tcPr>
            <w:tcW w:w="2076" w:type="dxa"/>
          </w:tcPr>
          <w:p w14:paraId="28385571" w14:textId="77777777" w:rsidR="00070503" w:rsidRDefault="00000000">
            <w:r>
              <w:rPr>
                <w:rFonts w:ascii="宋体" w:hAnsi="宋体"/>
                <w:color w:val="C00000"/>
              </w:rPr>
              <w:t>10</w:t>
            </w:r>
          </w:p>
        </w:tc>
        <w:tc>
          <w:tcPr>
            <w:tcW w:w="2076" w:type="dxa"/>
          </w:tcPr>
          <w:p w14:paraId="1432870D" w14:textId="77777777" w:rsidR="00070503" w:rsidRDefault="00000000">
            <w:r>
              <w:rPr>
                <w:rFonts w:ascii="宋体" w:hAnsi="宋体"/>
                <w:color w:val="C00000"/>
              </w:rPr>
              <w:t>物流成本与绩效管</w:t>
            </w:r>
            <w:r>
              <w:rPr>
                <w:rFonts w:ascii="宋体" w:hAnsi="宋体"/>
                <w:color w:val="C00000"/>
              </w:rPr>
              <w:lastRenderedPageBreak/>
              <w:t>理</w:t>
            </w:r>
          </w:p>
        </w:tc>
        <w:tc>
          <w:tcPr>
            <w:tcW w:w="2076" w:type="dxa"/>
          </w:tcPr>
          <w:p w14:paraId="7173BDA2" w14:textId="77777777" w:rsidR="00070503" w:rsidRDefault="00000000">
            <w:r>
              <w:rPr>
                <w:rFonts w:ascii="宋体" w:hAnsi="宋体"/>
                <w:color w:val="C00000"/>
              </w:rPr>
              <w:lastRenderedPageBreak/>
              <w:t>物流成本核算与运</w:t>
            </w:r>
            <w:r>
              <w:rPr>
                <w:rFonts w:ascii="宋体" w:hAnsi="宋体"/>
                <w:color w:val="C00000"/>
              </w:rPr>
              <w:lastRenderedPageBreak/>
              <w:t>营KPI分析</w:t>
            </w:r>
          </w:p>
        </w:tc>
        <w:tc>
          <w:tcPr>
            <w:tcW w:w="2076" w:type="dxa"/>
          </w:tcPr>
          <w:p w14:paraId="003EEDBC" w14:textId="77777777" w:rsidR="00070503" w:rsidRDefault="00000000">
            <w:r>
              <w:rPr>
                <w:rFonts w:ascii="宋体" w:hAnsi="宋体"/>
                <w:color w:val="C00000"/>
              </w:rPr>
              <w:lastRenderedPageBreak/>
              <w:t>归集仓储、运输、包</w:t>
            </w:r>
            <w:r>
              <w:rPr>
                <w:rFonts w:ascii="宋体" w:hAnsi="宋体"/>
                <w:color w:val="C00000"/>
              </w:rPr>
              <w:lastRenderedPageBreak/>
              <w:t>装、人工、异常赔付等成本，计算订单履约成本、库存周转、准时率、破损率等指标。</w:t>
            </w:r>
          </w:p>
        </w:tc>
      </w:tr>
      <w:tr w:rsidR="00070503" w14:paraId="75998DB6" w14:textId="77777777">
        <w:tc>
          <w:tcPr>
            <w:tcW w:w="2076" w:type="dxa"/>
          </w:tcPr>
          <w:p w14:paraId="04648B43" w14:textId="77777777" w:rsidR="00070503" w:rsidRDefault="00000000">
            <w:r>
              <w:rPr>
                <w:rFonts w:ascii="宋体" w:hAnsi="宋体"/>
                <w:color w:val="C00000"/>
              </w:rPr>
              <w:lastRenderedPageBreak/>
              <w:t>11</w:t>
            </w:r>
          </w:p>
        </w:tc>
        <w:tc>
          <w:tcPr>
            <w:tcW w:w="2076" w:type="dxa"/>
          </w:tcPr>
          <w:p w14:paraId="203F33F8" w14:textId="77777777" w:rsidR="00070503" w:rsidRDefault="00000000">
            <w:r>
              <w:rPr>
                <w:rFonts w:ascii="宋体" w:hAnsi="宋体"/>
                <w:color w:val="C00000"/>
              </w:rPr>
              <w:t>物流项目运营</w:t>
            </w:r>
          </w:p>
        </w:tc>
        <w:tc>
          <w:tcPr>
            <w:tcW w:w="2076" w:type="dxa"/>
          </w:tcPr>
          <w:p w14:paraId="33B962E0" w14:textId="77777777" w:rsidR="00070503" w:rsidRDefault="00000000">
            <w:r>
              <w:rPr>
                <w:rFonts w:ascii="宋体" w:hAnsi="宋体"/>
                <w:color w:val="C00000"/>
              </w:rPr>
              <w:t>客户物流方案与项目落地</w:t>
            </w:r>
          </w:p>
        </w:tc>
        <w:tc>
          <w:tcPr>
            <w:tcW w:w="2076" w:type="dxa"/>
          </w:tcPr>
          <w:p w14:paraId="6A12FDA5" w14:textId="77777777" w:rsidR="00070503" w:rsidRDefault="00000000">
            <w:r>
              <w:rPr>
                <w:rFonts w:ascii="宋体" w:hAnsi="宋体"/>
                <w:color w:val="C00000"/>
              </w:rPr>
              <w:t>根据客户业务流程设计仓配、运输或供应链服务方案，编制项目计划，跟踪上线、试运行、质量验收和复盘改进。</w:t>
            </w:r>
          </w:p>
        </w:tc>
      </w:tr>
      <w:tr w:rsidR="00070503" w14:paraId="764E6B03" w14:textId="77777777">
        <w:tc>
          <w:tcPr>
            <w:tcW w:w="2076" w:type="dxa"/>
          </w:tcPr>
          <w:p w14:paraId="1EDE791A" w14:textId="77777777" w:rsidR="00070503" w:rsidRDefault="00000000">
            <w:r>
              <w:rPr>
                <w:rFonts w:ascii="宋体" w:hAnsi="宋体"/>
                <w:color w:val="C00000"/>
              </w:rPr>
              <w:t>12</w:t>
            </w:r>
          </w:p>
        </w:tc>
        <w:tc>
          <w:tcPr>
            <w:tcW w:w="2076" w:type="dxa"/>
          </w:tcPr>
          <w:p w14:paraId="57D8A932" w14:textId="77777777" w:rsidR="00070503" w:rsidRDefault="00000000">
            <w:r>
              <w:rPr>
                <w:rFonts w:ascii="宋体" w:hAnsi="宋体"/>
                <w:color w:val="C00000"/>
              </w:rPr>
              <w:t>生产物流管理</w:t>
            </w:r>
          </w:p>
        </w:tc>
        <w:tc>
          <w:tcPr>
            <w:tcW w:w="2076" w:type="dxa"/>
          </w:tcPr>
          <w:p w14:paraId="2DDFB955" w14:textId="77777777" w:rsidR="00070503" w:rsidRDefault="00000000">
            <w:r>
              <w:rPr>
                <w:rFonts w:ascii="宋体" w:hAnsi="宋体"/>
                <w:color w:val="C00000"/>
              </w:rPr>
              <w:t>线边配送与生产物料保障</w:t>
            </w:r>
          </w:p>
        </w:tc>
        <w:tc>
          <w:tcPr>
            <w:tcW w:w="2076" w:type="dxa"/>
          </w:tcPr>
          <w:p w14:paraId="7AD5C75E" w14:textId="77777777" w:rsidR="00070503" w:rsidRDefault="00000000">
            <w:r>
              <w:rPr>
                <w:rFonts w:ascii="宋体" w:hAnsi="宋体"/>
                <w:color w:val="C00000"/>
              </w:rPr>
              <w:t>依据生产计划组织物料配送、JIT/JIS补给、线边库存控制和异常响应，保障生产节拍与供应连续性。</w:t>
            </w:r>
          </w:p>
        </w:tc>
      </w:tr>
      <w:tr w:rsidR="00070503" w14:paraId="776A3475" w14:textId="77777777">
        <w:tc>
          <w:tcPr>
            <w:tcW w:w="2076" w:type="dxa"/>
          </w:tcPr>
          <w:p w14:paraId="396C5AAF" w14:textId="77777777" w:rsidR="00070503" w:rsidRDefault="00000000">
            <w:r>
              <w:rPr>
                <w:rFonts w:ascii="宋体" w:hAnsi="宋体"/>
                <w:color w:val="C00000"/>
              </w:rPr>
              <w:t>13</w:t>
            </w:r>
          </w:p>
        </w:tc>
        <w:tc>
          <w:tcPr>
            <w:tcW w:w="2076" w:type="dxa"/>
          </w:tcPr>
          <w:p w14:paraId="0CDFCA83" w14:textId="77777777" w:rsidR="00070503" w:rsidRDefault="00000000">
            <w:r>
              <w:rPr>
                <w:rFonts w:ascii="宋体" w:hAnsi="宋体"/>
                <w:color w:val="C00000"/>
              </w:rPr>
              <w:t>物流金融与区块链技术</w:t>
            </w:r>
          </w:p>
        </w:tc>
        <w:tc>
          <w:tcPr>
            <w:tcW w:w="2076" w:type="dxa"/>
          </w:tcPr>
          <w:p w14:paraId="0068BC64" w14:textId="77777777" w:rsidR="00070503" w:rsidRDefault="00000000">
            <w:r>
              <w:rPr>
                <w:rFonts w:ascii="宋体" w:hAnsi="宋体"/>
                <w:color w:val="C00000"/>
              </w:rPr>
              <w:t>供应链金融场景资料整理与风险识别</w:t>
            </w:r>
          </w:p>
        </w:tc>
        <w:tc>
          <w:tcPr>
            <w:tcW w:w="2076" w:type="dxa"/>
          </w:tcPr>
          <w:p w14:paraId="4D0FEFAA" w14:textId="77777777" w:rsidR="00070503" w:rsidRDefault="00000000">
            <w:r>
              <w:rPr>
                <w:rFonts w:ascii="宋体" w:hAnsi="宋体"/>
                <w:color w:val="C00000"/>
              </w:rPr>
              <w:t>围绕订单、仓单、运输单据和应收账款等资料，识别真实性、权属、履约和信用风险，支持供应链金融业务合规。</w:t>
            </w:r>
          </w:p>
        </w:tc>
      </w:tr>
      <w:tr w:rsidR="00070503" w14:paraId="41CC3D64" w14:textId="77777777">
        <w:tc>
          <w:tcPr>
            <w:tcW w:w="2076" w:type="dxa"/>
          </w:tcPr>
          <w:p w14:paraId="406B63B7" w14:textId="77777777" w:rsidR="00070503" w:rsidRDefault="00000000">
            <w:r>
              <w:rPr>
                <w:rFonts w:ascii="宋体" w:hAnsi="宋体"/>
                <w:color w:val="C00000"/>
              </w:rPr>
              <w:t>14</w:t>
            </w:r>
          </w:p>
        </w:tc>
        <w:tc>
          <w:tcPr>
            <w:tcW w:w="2076" w:type="dxa"/>
          </w:tcPr>
          <w:p w14:paraId="72DD3D04" w14:textId="77777777" w:rsidR="00070503" w:rsidRDefault="00000000">
            <w:r>
              <w:rPr>
                <w:rFonts w:ascii="宋体" w:hAnsi="宋体"/>
                <w:color w:val="C00000"/>
              </w:rPr>
              <w:t>绿色物流与安全管理</w:t>
            </w:r>
          </w:p>
        </w:tc>
        <w:tc>
          <w:tcPr>
            <w:tcW w:w="2076" w:type="dxa"/>
          </w:tcPr>
          <w:p w14:paraId="2C7AC4FB" w14:textId="77777777" w:rsidR="00070503" w:rsidRDefault="00000000">
            <w:r>
              <w:rPr>
                <w:rFonts w:ascii="宋体" w:hAnsi="宋体"/>
                <w:color w:val="C00000"/>
              </w:rPr>
              <w:t>绿色包装、碳数据采集与安全合规</w:t>
            </w:r>
          </w:p>
        </w:tc>
        <w:tc>
          <w:tcPr>
            <w:tcW w:w="2076" w:type="dxa"/>
          </w:tcPr>
          <w:p w14:paraId="7CE394B1" w14:textId="77777777" w:rsidR="00070503" w:rsidRDefault="00000000">
            <w:r>
              <w:rPr>
                <w:rFonts w:ascii="宋体" w:hAnsi="宋体"/>
                <w:color w:val="C00000"/>
              </w:rPr>
              <w:t>执行绿色包装、循环载具、节能运输和安全生产要求，采集能耗、碳排、温控和安全检查数据，形成合规记录。</w:t>
            </w:r>
          </w:p>
        </w:tc>
      </w:tr>
    </w:tbl>
    <w:p w14:paraId="535BFF2B" w14:textId="77777777" w:rsidR="00711C62" w:rsidRDefault="00000000">
      <w:pPr>
        <w:pStyle w:val="1"/>
        <w:spacing w:line="360" w:lineRule="auto"/>
        <w:rPr>
          <w:rFonts w:ascii="黑体" w:eastAsia="黑体" w:hAnsi="黑体"/>
          <w:b w:val="0"/>
          <w:sz w:val="30"/>
          <w:szCs w:val="30"/>
        </w:rPr>
      </w:pPr>
      <w:bookmarkStart w:id="4" w:name="_Toc18242"/>
      <w:r>
        <w:rPr>
          <w:rFonts w:ascii="黑体" w:eastAsia="黑体" w:hAnsi="黑体" w:hint="eastAsia"/>
          <w:b w:val="0"/>
          <w:sz w:val="30"/>
          <w:szCs w:val="30"/>
        </w:rPr>
        <w:t>五、企业实际需要的职业证书</w:t>
      </w:r>
      <w:bookmarkEnd w:id="4"/>
    </w:p>
    <w:p w14:paraId="0B58E64C" w14:textId="77777777" w:rsidR="00711C62" w:rsidRDefault="00000000">
      <w:pPr>
        <w:spacing w:line="360" w:lineRule="auto"/>
        <w:ind w:firstLineChars="200" w:firstLine="482"/>
        <w:rPr>
          <w:rFonts w:asciiTheme="minorEastAsia" w:eastAsiaTheme="minorEastAsia" w:hAnsiTheme="minorEastAsia"/>
          <w:sz w:val="24"/>
        </w:rPr>
      </w:pPr>
      <w:r>
        <w:rPr>
          <w:rFonts w:asciiTheme="minorEastAsia" w:eastAsiaTheme="minorEastAsia" w:hAnsiTheme="minorEastAsia" w:hint="eastAsia"/>
          <w:b/>
          <w:bCs/>
          <w:sz w:val="24"/>
        </w:rPr>
        <w:t>人社部备案·职业技能等级证书（最权威、企业必看）</w:t>
      </w:r>
    </w:p>
    <w:p w14:paraId="6C87A4A2" w14:textId="77777777" w:rsidR="00711C62" w:rsidRDefault="00000000">
      <w:pPr>
        <w:spacing w:line="360" w:lineRule="auto"/>
        <w:ind w:firstLineChars="200" w:firstLine="480"/>
        <w:rPr>
          <w:rFonts w:asciiTheme="minorEastAsia" w:eastAsiaTheme="minorEastAsia" w:hAnsiTheme="minorEastAsia"/>
          <w:sz w:val="24"/>
        </w:rPr>
      </w:pPr>
      <w:r>
        <w:rPr>
          <w:rFonts w:asciiTheme="minorEastAsia" w:eastAsiaTheme="minorEastAsia" w:hAnsiTheme="minorEastAsia" w:hint="eastAsia"/>
          <w:sz w:val="24"/>
        </w:rPr>
        <w:t>1.物流服务师（中级/高级）</w:t>
      </w:r>
    </w:p>
    <w:p w14:paraId="2AC3CF71" w14:textId="77777777" w:rsidR="00711C62" w:rsidRDefault="00000000">
      <w:pPr>
        <w:spacing w:line="360" w:lineRule="auto"/>
        <w:rPr>
          <w:rFonts w:asciiTheme="minorEastAsia" w:eastAsiaTheme="minorEastAsia" w:hAnsiTheme="minorEastAsia"/>
          <w:sz w:val="24"/>
        </w:rPr>
      </w:pPr>
      <w:r>
        <w:rPr>
          <w:rFonts w:asciiTheme="minorEastAsia" w:eastAsiaTheme="minorEastAsia" w:hAnsiTheme="minorEastAsia" w:hint="eastAsia"/>
          <w:sz w:val="24"/>
        </w:rPr>
        <w:t>发证：人社部备案，中国物流与采购联合会</w:t>
      </w:r>
    </w:p>
    <w:p w14:paraId="34F9EDCE" w14:textId="77777777" w:rsidR="00711C62" w:rsidRDefault="00000000">
      <w:pPr>
        <w:spacing w:line="360" w:lineRule="auto"/>
        <w:rPr>
          <w:rFonts w:asciiTheme="minorEastAsia" w:eastAsiaTheme="minorEastAsia" w:hAnsiTheme="minorEastAsia"/>
          <w:sz w:val="24"/>
        </w:rPr>
      </w:pPr>
      <w:r>
        <w:rPr>
          <w:rFonts w:asciiTheme="minorEastAsia" w:eastAsiaTheme="minorEastAsia" w:hAnsiTheme="minorEastAsia" w:hint="eastAsia"/>
          <w:sz w:val="24"/>
        </w:rPr>
        <w:t>定位：物流行业从业通行证，高职本科核心证书</w:t>
      </w:r>
    </w:p>
    <w:p w14:paraId="7324C3CF" w14:textId="77777777" w:rsidR="00711C62" w:rsidRDefault="00000000">
      <w:pPr>
        <w:spacing w:line="360" w:lineRule="auto"/>
        <w:rPr>
          <w:rFonts w:asciiTheme="minorEastAsia" w:eastAsiaTheme="minorEastAsia" w:hAnsiTheme="minorEastAsia"/>
          <w:sz w:val="24"/>
        </w:rPr>
      </w:pPr>
      <w:r>
        <w:rPr>
          <w:rFonts w:asciiTheme="minorEastAsia" w:eastAsiaTheme="minorEastAsia" w:hAnsiTheme="minorEastAsia" w:hint="eastAsia"/>
          <w:sz w:val="24"/>
        </w:rPr>
        <w:t>区别本科：本科多考管理类证书，此证强实操、重流程（运输调度、方案设计、服务管控）</w:t>
      </w:r>
    </w:p>
    <w:p w14:paraId="6478E371" w14:textId="77777777" w:rsidR="00711C62" w:rsidRDefault="00000000">
      <w:pPr>
        <w:spacing w:line="360" w:lineRule="auto"/>
        <w:ind w:firstLineChars="200" w:firstLine="480"/>
        <w:rPr>
          <w:rFonts w:asciiTheme="minorEastAsia" w:eastAsiaTheme="minorEastAsia" w:hAnsiTheme="minorEastAsia"/>
          <w:sz w:val="24"/>
        </w:rPr>
      </w:pPr>
      <w:r>
        <w:rPr>
          <w:rFonts w:asciiTheme="minorEastAsia" w:eastAsiaTheme="minorEastAsia" w:hAnsiTheme="minorEastAsia" w:hint="eastAsia"/>
          <w:sz w:val="24"/>
        </w:rPr>
        <w:t>2.智能仓储大数据分析（中级）</w:t>
      </w:r>
    </w:p>
    <w:p w14:paraId="0CBA6103" w14:textId="77777777" w:rsidR="00711C62" w:rsidRDefault="00000000">
      <w:pPr>
        <w:spacing w:line="360" w:lineRule="auto"/>
        <w:rPr>
          <w:rFonts w:asciiTheme="minorEastAsia" w:eastAsiaTheme="minorEastAsia" w:hAnsiTheme="minorEastAsia"/>
          <w:sz w:val="24"/>
        </w:rPr>
      </w:pPr>
      <w:r>
        <w:rPr>
          <w:rFonts w:asciiTheme="minorEastAsia" w:eastAsiaTheme="minorEastAsia" w:hAnsiTheme="minorEastAsia" w:hint="eastAsia"/>
          <w:sz w:val="24"/>
        </w:rPr>
        <w:lastRenderedPageBreak/>
        <w:t>发证：人社部备案</w:t>
      </w:r>
    </w:p>
    <w:p w14:paraId="65286656" w14:textId="77777777" w:rsidR="00711C62" w:rsidRDefault="00000000">
      <w:pPr>
        <w:spacing w:line="360" w:lineRule="auto"/>
        <w:rPr>
          <w:rFonts w:asciiTheme="minorEastAsia" w:eastAsiaTheme="minorEastAsia" w:hAnsiTheme="minorEastAsia"/>
          <w:sz w:val="24"/>
        </w:rPr>
      </w:pPr>
      <w:r>
        <w:rPr>
          <w:rFonts w:asciiTheme="minorEastAsia" w:eastAsiaTheme="minorEastAsia" w:hAnsiTheme="minorEastAsia" w:hint="eastAsia"/>
          <w:sz w:val="24"/>
        </w:rPr>
        <w:t>定位：智慧物流技术型证书</w:t>
      </w:r>
    </w:p>
    <w:p w14:paraId="59EADE90" w14:textId="77777777" w:rsidR="00711C62" w:rsidRDefault="00000000">
      <w:pPr>
        <w:spacing w:line="360" w:lineRule="auto"/>
        <w:rPr>
          <w:rFonts w:asciiTheme="minorEastAsia" w:eastAsiaTheme="minorEastAsia" w:hAnsiTheme="minorEastAsia"/>
          <w:sz w:val="24"/>
        </w:rPr>
      </w:pPr>
      <w:r>
        <w:rPr>
          <w:rFonts w:asciiTheme="minorEastAsia" w:eastAsiaTheme="minorEastAsia" w:hAnsiTheme="minorEastAsia" w:hint="eastAsia"/>
          <w:sz w:val="24"/>
        </w:rPr>
        <w:t>区别本科：本科偏数据分析理论，此证重系统操作+业务落地（TMS/WMS、数据采集、库存优化）。企业价值：智能仓、无人仓、物流科技公司核心加分项。</w:t>
      </w:r>
    </w:p>
    <w:p w14:paraId="226914AE" w14:textId="77777777" w:rsidR="00711C62" w:rsidRDefault="00000000">
      <w:pPr>
        <w:spacing w:line="360" w:lineRule="auto"/>
        <w:ind w:firstLineChars="200" w:firstLine="480"/>
        <w:rPr>
          <w:rFonts w:asciiTheme="minorEastAsia" w:eastAsiaTheme="minorEastAsia" w:hAnsiTheme="minorEastAsia"/>
          <w:sz w:val="24"/>
        </w:rPr>
      </w:pPr>
      <w:r>
        <w:rPr>
          <w:rFonts w:asciiTheme="minorEastAsia" w:eastAsiaTheme="minorEastAsia" w:hAnsiTheme="minorEastAsia" w:hint="eastAsia"/>
          <w:sz w:val="24"/>
        </w:rPr>
        <w:t>3.供应链管理师（CPSCM中级）</w:t>
      </w:r>
    </w:p>
    <w:p w14:paraId="344B0CF0" w14:textId="77777777" w:rsidR="00711C62" w:rsidRDefault="00000000">
      <w:pPr>
        <w:spacing w:line="360" w:lineRule="auto"/>
        <w:rPr>
          <w:rFonts w:asciiTheme="minorEastAsia" w:eastAsiaTheme="minorEastAsia" w:hAnsiTheme="minorEastAsia"/>
          <w:sz w:val="24"/>
        </w:rPr>
      </w:pPr>
      <w:r>
        <w:rPr>
          <w:rFonts w:asciiTheme="minorEastAsia" w:eastAsiaTheme="minorEastAsia" w:hAnsiTheme="minorEastAsia" w:hint="eastAsia"/>
          <w:sz w:val="24"/>
        </w:rPr>
        <w:t>发证：中国物流与采购联合会（国际互认）</w:t>
      </w:r>
    </w:p>
    <w:p w14:paraId="3E3C0FBB" w14:textId="77777777" w:rsidR="00711C62" w:rsidRDefault="00000000">
      <w:pPr>
        <w:spacing w:line="360" w:lineRule="auto"/>
        <w:rPr>
          <w:rFonts w:asciiTheme="minorEastAsia" w:eastAsiaTheme="minorEastAsia" w:hAnsiTheme="minorEastAsia"/>
          <w:sz w:val="24"/>
        </w:rPr>
      </w:pPr>
      <w:r>
        <w:rPr>
          <w:rFonts w:asciiTheme="minorEastAsia" w:eastAsiaTheme="minorEastAsia" w:hAnsiTheme="minorEastAsia" w:hint="eastAsia"/>
          <w:sz w:val="24"/>
        </w:rPr>
        <w:t>定位：供应链管理进阶证书</w:t>
      </w:r>
    </w:p>
    <w:p w14:paraId="213449C9" w14:textId="77777777" w:rsidR="00711C62" w:rsidRDefault="00000000">
      <w:pPr>
        <w:spacing w:line="360" w:lineRule="auto"/>
        <w:rPr>
          <w:rFonts w:asciiTheme="minorEastAsia" w:eastAsiaTheme="minorEastAsia" w:hAnsiTheme="minorEastAsia"/>
          <w:sz w:val="24"/>
        </w:rPr>
      </w:pPr>
      <w:r>
        <w:rPr>
          <w:rFonts w:asciiTheme="minorEastAsia" w:eastAsiaTheme="minorEastAsia" w:hAnsiTheme="minorEastAsia" w:hint="eastAsia"/>
          <w:sz w:val="24"/>
        </w:rPr>
        <w:t>区别本科：本科可考但高职更贴合岗位，重实操落地</w:t>
      </w:r>
    </w:p>
    <w:p w14:paraId="6DFF571E" w14:textId="77777777" w:rsidR="00711C62" w:rsidRDefault="00000000">
      <w:pPr>
        <w:spacing w:line="360" w:lineRule="auto"/>
        <w:ind w:firstLineChars="200" w:firstLine="482"/>
        <w:rPr>
          <w:rFonts w:asciiTheme="minorEastAsia" w:eastAsiaTheme="minorEastAsia" w:hAnsiTheme="minorEastAsia"/>
          <w:b/>
          <w:bCs/>
          <w:sz w:val="24"/>
        </w:rPr>
      </w:pPr>
      <w:r>
        <w:rPr>
          <w:rFonts w:asciiTheme="minorEastAsia" w:eastAsiaTheme="minorEastAsia" w:hAnsiTheme="minorEastAsia" w:hint="eastAsia"/>
          <w:b/>
          <w:bCs/>
          <w:sz w:val="24"/>
        </w:rPr>
        <w:t>为什么这些证“高于专科、区别本科”</w:t>
      </w:r>
    </w:p>
    <w:p w14:paraId="77BE1574" w14:textId="77777777" w:rsidR="00711C62" w:rsidRDefault="00000000">
      <w:pPr>
        <w:spacing w:line="360" w:lineRule="auto"/>
        <w:rPr>
          <w:rFonts w:asciiTheme="minorEastAsia" w:eastAsiaTheme="minorEastAsia" w:hAnsiTheme="minorEastAsia"/>
          <w:sz w:val="24"/>
        </w:rPr>
      </w:pPr>
      <w:r>
        <w:rPr>
          <w:rFonts w:asciiTheme="minorEastAsia" w:eastAsiaTheme="minorEastAsia" w:hAnsiTheme="minorEastAsia" w:hint="eastAsia"/>
          <w:sz w:val="24"/>
        </w:rPr>
        <w:t>人社备案+行业认可：企业招聘硬指标，本科多无强制要求。</w:t>
      </w:r>
    </w:p>
    <w:p w14:paraId="5249F136" w14:textId="77777777" w:rsidR="00711C62" w:rsidRDefault="00000000">
      <w:pPr>
        <w:spacing w:line="360" w:lineRule="auto"/>
        <w:rPr>
          <w:rFonts w:asciiTheme="minorEastAsia" w:eastAsiaTheme="minorEastAsia" w:hAnsiTheme="minorEastAsia"/>
          <w:sz w:val="24"/>
        </w:rPr>
      </w:pPr>
      <w:r>
        <w:rPr>
          <w:rFonts w:asciiTheme="minorEastAsia" w:eastAsiaTheme="minorEastAsia" w:hAnsiTheme="minorEastAsia" w:hint="eastAsia"/>
          <w:sz w:val="24"/>
        </w:rPr>
        <w:t>强实操、重岗位：直接对接一线岗位，本科偏理论与管理。</w:t>
      </w:r>
    </w:p>
    <w:p w14:paraId="79B77802" w14:textId="77777777" w:rsidR="00711C62" w:rsidRDefault="00000000">
      <w:pPr>
        <w:spacing w:line="360" w:lineRule="auto"/>
        <w:rPr>
          <w:rFonts w:eastAsiaTheme="minorEastAsia"/>
          <w:sz w:val="28"/>
          <w:szCs w:val="28"/>
        </w:rPr>
      </w:pPr>
      <w:r>
        <w:rPr>
          <w:rFonts w:asciiTheme="minorEastAsia" w:eastAsiaTheme="minorEastAsia" w:hAnsiTheme="minorEastAsia" w:hint="eastAsia"/>
          <w:sz w:val="24"/>
        </w:rPr>
        <w:t>就业导向：企业招基层/技术岗优先看这些证，本科看学历+管理证书。</w:t>
      </w:r>
    </w:p>
    <w:p w14:paraId="0E83EB4D" w14:textId="77777777" w:rsidR="00711C62" w:rsidRDefault="00711C62">
      <w:pPr>
        <w:pStyle w:val="a5"/>
        <w:ind w:firstLine="560"/>
        <w:rPr>
          <w:sz w:val="28"/>
          <w:szCs w:val="28"/>
        </w:rPr>
      </w:pPr>
    </w:p>
    <w:p w14:paraId="75E6A523" w14:textId="77777777" w:rsidR="00070503" w:rsidRDefault="00000000">
      <w:r>
        <w:rPr>
          <w:rFonts w:ascii="宋体" w:hAnsi="宋体"/>
          <w:b/>
          <w:color w:val="C00000"/>
        </w:rPr>
        <w:t>数据来源说明（本次标黄内容替换依据）</w:t>
      </w:r>
    </w:p>
    <w:p w14:paraId="2C5A2A73" w14:textId="77777777" w:rsidR="00070503" w:rsidRDefault="00000000">
      <w:r>
        <w:rPr>
          <w:rFonts w:ascii="宋体" w:hAnsi="宋体"/>
          <w:color w:val="C00000"/>
        </w:rPr>
        <w:t>1. 国家统计局《中华人民共和国2024年国民经济和社会发展统计公报》（2025-02-28）：交通运输、仓储和邮政业增加值、货运量、港口吞吐量、快递业务量、电子商务交易额、网上零售额、固定资产投资等数据。</w:t>
      </w:r>
    </w:p>
    <w:p w14:paraId="1A1B457D" w14:textId="77777777" w:rsidR="00070503" w:rsidRDefault="00000000">
      <w:r>
        <w:rPr>
          <w:rFonts w:ascii="宋体" w:hAnsi="宋体"/>
          <w:color w:val="C00000"/>
        </w:rPr>
        <w:t>2. 交通运输部《2024年交通运输行业发展统计公报》、国家邮政局《2024年邮政行业发展统计公报》及辽宁省、锦州市公开规划/统计资料：用于校核综合交通、邮政快递、港口枢纽、多式联运、区域服务定位等表述。</w:t>
      </w:r>
    </w:p>
    <w:p w14:paraId="2345795F" w14:textId="77777777" w:rsidR="00070503" w:rsidRDefault="00000000">
      <w:r>
        <w:rPr>
          <w:rFonts w:ascii="宋体" w:hAnsi="宋体"/>
          <w:color w:val="C00000"/>
        </w:rPr>
        <w:t>3. 企业与岗位口径参考京东、顺丰、港口/货代、冷链、电商履约和制造供应链等典型场景，将岗位能力归纳为系统操作、数据分析、现场组织、客户协同、成本绩效、质量安全和绿色低碳七类。</w:t>
      </w:r>
    </w:p>
    <w:p w14:paraId="3B4DE463" w14:textId="77777777" w:rsidR="00711C62" w:rsidRDefault="00000000">
      <w:pPr>
        <w:pStyle w:val="1"/>
        <w:spacing w:line="360" w:lineRule="auto"/>
        <w:rPr>
          <w:rFonts w:ascii="黑体" w:eastAsia="黑体" w:hAnsi="黑体"/>
          <w:b w:val="0"/>
          <w:sz w:val="30"/>
          <w:szCs w:val="30"/>
        </w:rPr>
      </w:pPr>
      <w:bookmarkStart w:id="5" w:name="_Toc707"/>
      <w:r>
        <w:rPr>
          <w:rFonts w:ascii="黑体" w:eastAsia="黑体" w:hAnsi="黑体" w:hint="eastAsia"/>
          <w:b w:val="0"/>
          <w:sz w:val="30"/>
          <w:szCs w:val="30"/>
        </w:rPr>
        <w:t>附表1</w:t>
      </w:r>
      <w:bookmarkEnd w:id="5"/>
    </w:p>
    <w:p w14:paraId="363F909E" w14:textId="77777777" w:rsidR="00711C62" w:rsidRDefault="00000000">
      <w:pPr>
        <w:pStyle w:val="1"/>
        <w:spacing w:line="360" w:lineRule="auto"/>
        <w:jc w:val="center"/>
        <w:rPr>
          <w:rFonts w:ascii="黑体" w:eastAsia="黑体" w:hAnsi="黑体"/>
          <w:b w:val="0"/>
          <w:sz w:val="30"/>
          <w:szCs w:val="30"/>
        </w:rPr>
      </w:pPr>
      <w:bookmarkStart w:id="6" w:name="_Toc10792"/>
      <w:r>
        <w:rPr>
          <w:rFonts w:ascii="黑体" w:eastAsia="黑体" w:hAnsi="黑体" w:hint="eastAsia"/>
          <w:b w:val="0"/>
          <w:sz w:val="30"/>
          <w:szCs w:val="30"/>
        </w:rPr>
        <w:t>数字商务学院</w:t>
      </w:r>
      <w:bookmarkEnd w:id="6"/>
    </w:p>
    <w:p w14:paraId="3F9BD165" w14:textId="77777777" w:rsidR="00711C62" w:rsidRDefault="00000000">
      <w:pPr>
        <w:pStyle w:val="1"/>
        <w:spacing w:line="360" w:lineRule="auto"/>
        <w:jc w:val="center"/>
        <w:rPr>
          <w:rFonts w:ascii="黑体" w:eastAsia="黑体" w:hAnsi="黑体"/>
          <w:b w:val="0"/>
          <w:sz w:val="30"/>
          <w:szCs w:val="30"/>
        </w:rPr>
      </w:pPr>
      <w:bookmarkStart w:id="7" w:name="_Toc7281"/>
      <w:r>
        <w:rPr>
          <w:rFonts w:ascii="黑体" w:eastAsia="黑体" w:hAnsi="黑体" w:hint="eastAsia"/>
          <w:b w:val="0"/>
          <w:sz w:val="30"/>
          <w:szCs w:val="30"/>
        </w:rPr>
        <w:t>2026级职业本科人才培养方案修订领导小组成员名单</w:t>
      </w:r>
      <w:bookmarkEnd w:id="7"/>
    </w:p>
    <w:tbl>
      <w:tblPr>
        <w:tblStyle w:val="aa"/>
        <w:tblW w:w="0" w:type="auto"/>
        <w:tblLook w:val="04A0" w:firstRow="1" w:lastRow="0" w:firstColumn="1" w:lastColumn="0" w:noHBand="0" w:noVBand="1"/>
      </w:tblPr>
      <w:tblGrid>
        <w:gridCol w:w="988"/>
        <w:gridCol w:w="1833"/>
        <w:gridCol w:w="2136"/>
        <w:gridCol w:w="1134"/>
        <w:gridCol w:w="2333"/>
      </w:tblGrid>
      <w:tr w:rsidR="00711C62" w14:paraId="72BD8986" w14:textId="77777777">
        <w:trPr>
          <w:trHeight w:val="567"/>
        </w:trPr>
        <w:tc>
          <w:tcPr>
            <w:tcW w:w="988" w:type="dxa"/>
            <w:vAlign w:val="center"/>
          </w:tcPr>
          <w:p w14:paraId="57BCDAEB" w14:textId="77777777" w:rsidR="00711C62" w:rsidRDefault="00711C62">
            <w:pPr>
              <w:jc w:val="center"/>
              <w:rPr>
                <w:rFonts w:ascii="仿宋" w:eastAsia="仿宋" w:hAnsi="仿宋" w:cs="仿宋"/>
                <w:b/>
                <w:bCs/>
                <w:kern w:val="0"/>
                <w:sz w:val="24"/>
              </w:rPr>
            </w:pPr>
          </w:p>
        </w:tc>
        <w:tc>
          <w:tcPr>
            <w:tcW w:w="1833" w:type="dxa"/>
            <w:vAlign w:val="center"/>
          </w:tcPr>
          <w:p w14:paraId="0327514D" w14:textId="77777777" w:rsidR="00711C62" w:rsidRDefault="00000000">
            <w:pPr>
              <w:jc w:val="center"/>
              <w:rPr>
                <w:rFonts w:ascii="仿宋" w:eastAsia="仿宋" w:hAnsi="仿宋" w:cs="仿宋"/>
                <w:b/>
                <w:bCs/>
                <w:kern w:val="0"/>
                <w:sz w:val="24"/>
              </w:rPr>
            </w:pPr>
            <w:r>
              <w:rPr>
                <w:rFonts w:ascii="仿宋" w:eastAsia="仿宋" w:hAnsi="仿宋" w:cs="仿宋" w:hint="eastAsia"/>
                <w:b/>
                <w:bCs/>
                <w:kern w:val="0"/>
                <w:sz w:val="24"/>
              </w:rPr>
              <w:t>姓名</w:t>
            </w:r>
          </w:p>
        </w:tc>
        <w:tc>
          <w:tcPr>
            <w:tcW w:w="2136" w:type="dxa"/>
            <w:vAlign w:val="center"/>
          </w:tcPr>
          <w:p w14:paraId="1666A7FB" w14:textId="77777777" w:rsidR="00711C62" w:rsidRDefault="00000000">
            <w:pPr>
              <w:jc w:val="center"/>
              <w:rPr>
                <w:rFonts w:ascii="仿宋" w:eastAsia="仿宋" w:hAnsi="仿宋" w:cs="仿宋"/>
                <w:b/>
                <w:bCs/>
                <w:kern w:val="0"/>
                <w:sz w:val="24"/>
              </w:rPr>
            </w:pPr>
            <w:r>
              <w:rPr>
                <w:rFonts w:ascii="仿宋" w:eastAsia="仿宋" w:hAnsi="仿宋" w:cs="仿宋" w:hint="eastAsia"/>
                <w:b/>
                <w:bCs/>
                <w:kern w:val="0"/>
                <w:sz w:val="24"/>
              </w:rPr>
              <w:t>职务</w:t>
            </w:r>
          </w:p>
        </w:tc>
        <w:tc>
          <w:tcPr>
            <w:tcW w:w="1134" w:type="dxa"/>
            <w:vAlign w:val="center"/>
          </w:tcPr>
          <w:p w14:paraId="7B46F3B7" w14:textId="77777777" w:rsidR="00711C62" w:rsidRDefault="00000000">
            <w:pPr>
              <w:jc w:val="center"/>
              <w:rPr>
                <w:rFonts w:ascii="仿宋" w:eastAsia="仿宋" w:hAnsi="仿宋" w:cs="仿宋"/>
                <w:b/>
                <w:bCs/>
                <w:kern w:val="0"/>
                <w:sz w:val="24"/>
              </w:rPr>
            </w:pPr>
            <w:r>
              <w:rPr>
                <w:rFonts w:ascii="仿宋" w:eastAsia="仿宋" w:hAnsi="仿宋" w:cs="仿宋" w:hint="eastAsia"/>
                <w:b/>
                <w:bCs/>
                <w:kern w:val="0"/>
                <w:sz w:val="24"/>
              </w:rPr>
              <w:t>职称</w:t>
            </w:r>
          </w:p>
        </w:tc>
        <w:tc>
          <w:tcPr>
            <w:tcW w:w="2333" w:type="dxa"/>
            <w:vAlign w:val="center"/>
          </w:tcPr>
          <w:p w14:paraId="6C00B8C7" w14:textId="77777777" w:rsidR="00711C62" w:rsidRDefault="00000000">
            <w:pPr>
              <w:jc w:val="center"/>
              <w:rPr>
                <w:rFonts w:ascii="仿宋" w:eastAsia="仿宋" w:hAnsi="仿宋" w:cs="仿宋"/>
                <w:b/>
                <w:bCs/>
                <w:kern w:val="0"/>
                <w:sz w:val="24"/>
              </w:rPr>
            </w:pPr>
            <w:r>
              <w:rPr>
                <w:rFonts w:ascii="仿宋" w:eastAsia="仿宋" w:hAnsi="仿宋" w:cs="仿宋" w:hint="eastAsia"/>
                <w:b/>
                <w:bCs/>
                <w:kern w:val="0"/>
                <w:sz w:val="24"/>
              </w:rPr>
              <w:t>工作单位</w:t>
            </w:r>
          </w:p>
        </w:tc>
      </w:tr>
      <w:tr w:rsidR="00711C62" w14:paraId="0984052B" w14:textId="77777777">
        <w:trPr>
          <w:trHeight w:val="567"/>
        </w:trPr>
        <w:tc>
          <w:tcPr>
            <w:tcW w:w="988" w:type="dxa"/>
            <w:vAlign w:val="center"/>
          </w:tcPr>
          <w:p w14:paraId="6C51D4C9" w14:textId="77777777" w:rsidR="00711C62" w:rsidRDefault="00000000">
            <w:pPr>
              <w:jc w:val="center"/>
              <w:rPr>
                <w:rFonts w:ascii="仿宋" w:eastAsia="仿宋" w:hAnsi="仿宋" w:cs="仿宋"/>
                <w:b/>
                <w:bCs/>
                <w:kern w:val="0"/>
                <w:sz w:val="24"/>
              </w:rPr>
            </w:pPr>
            <w:r>
              <w:rPr>
                <w:rFonts w:ascii="仿宋" w:eastAsia="仿宋" w:hAnsi="仿宋" w:cs="仿宋" w:hint="eastAsia"/>
                <w:b/>
                <w:bCs/>
                <w:kern w:val="0"/>
                <w:sz w:val="24"/>
              </w:rPr>
              <w:t>组长</w:t>
            </w:r>
          </w:p>
        </w:tc>
        <w:tc>
          <w:tcPr>
            <w:tcW w:w="1833" w:type="dxa"/>
            <w:vAlign w:val="center"/>
          </w:tcPr>
          <w:p w14:paraId="1A5D0DA5" w14:textId="77777777" w:rsidR="00711C62" w:rsidRDefault="00000000">
            <w:pPr>
              <w:jc w:val="center"/>
              <w:rPr>
                <w:rFonts w:ascii="仿宋" w:eastAsia="仿宋" w:hAnsi="仿宋" w:cs="仿宋"/>
                <w:kern w:val="0"/>
                <w:sz w:val="24"/>
              </w:rPr>
            </w:pPr>
            <w:r>
              <w:rPr>
                <w:rFonts w:ascii="仿宋" w:eastAsia="仿宋" w:hAnsi="仿宋" w:cs="仿宋" w:hint="eastAsia"/>
                <w:kern w:val="0"/>
                <w:sz w:val="24"/>
              </w:rPr>
              <w:t>吴景泰</w:t>
            </w:r>
          </w:p>
        </w:tc>
        <w:tc>
          <w:tcPr>
            <w:tcW w:w="2136" w:type="dxa"/>
            <w:vAlign w:val="center"/>
          </w:tcPr>
          <w:p w14:paraId="7EE138B2" w14:textId="77777777" w:rsidR="00711C62" w:rsidRDefault="00000000">
            <w:pPr>
              <w:jc w:val="center"/>
              <w:rPr>
                <w:rFonts w:ascii="仿宋" w:eastAsia="仿宋" w:hAnsi="仿宋" w:cs="仿宋"/>
                <w:kern w:val="0"/>
                <w:sz w:val="24"/>
              </w:rPr>
            </w:pPr>
            <w:r>
              <w:rPr>
                <w:rFonts w:ascii="仿宋" w:eastAsia="仿宋" w:hAnsi="仿宋" w:cs="仿宋" w:hint="eastAsia"/>
                <w:kern w:val="0"/>
                <w:sz w:val="24"/>
              </w:rPr>
              <w:t>院长</w:t>
            </w:r>
          </w:p>
        </w:tc>
        <w:tc>
          <w:tcPr>
            <w:tcW w:w="1134" w:type="dxa"/>
            <w:vAlign w:val="center"/>
          </w:tcPr>
          <w:p w14:paraId="214908FD" w14:textId="77777777" w:rsidR="00711C62" w:rsidRDefault="00000000">
            <w:pPr>
              <w:jc w:val="center"/>
              <w:rPr>
                <w:rFonts w:ascii="仿宋" w:eastAsia="仿宋" w:hAnsi="仿宋" w:cs="仿宋"/>
                <w:kern w:val="0"/>
                <w:sz w:val="24"/>
              </w:rPr>
            </w:pPr>
            <w:r>
              <w:rPr>
                <w:rFonts w:ascii="仿宋" w:eastAsia="仿宋" w:hAnsi="仿宋" w:cs="仿宋" w:hint="eastAsia"/>
                <w:kern w:val="0"/>
                <w:sz w:val="24"/>
              </w:rPr>
              <w:t>教授</w:t>
            </w:r>
          </w:p>
        </w:tc>
        <w:tc>
          <w:tcPr>
            <w:tcW w:w="2333" w:type="dxa"/>
            <w:vAlign w:val="center"/>
          </w:tcPr>
          <w:p w14:paraId="09EAA336" w14:textId="77777777" w:rsidR="00711C62" w:rsidRDefault="00000000">
            <w:pPr>
              <w:jc w:val="center"/>
              <w:rPr>
                <w:rFonts w:ascii="仿宋" w:eastAsia="仿宋" w:hAnsi="仿宋" w:cs="仿宋"/>
                <w:kern w:val="0"/>
                <w:sz w:val="24"/>
              </w:rPr>
            </w:pPr>
            <w:r>
              <w:rPr>
                <w:rFonts w:ascii="仿宋" w:eastAsia="仿宋" w:hAnsi="仿宋" w:cs="仿宋" w:hint="eastAsia"/>
                <w:kern w:val="0"/>
                <w:sz w:val="24"/>
              </w:rPr>
              <w:t>辽宁理工职业大学</w:t>
            </w:r>
          </w:p>
        </w:tc>
      </w:tr>
      <w:tr w:rsidR="00711C62" w14:paraId="367BECD0" w14:textId="77777777">
        <w:trPr>
          <w:trHeight w:val="567"/>
        </w:trPr>
        <w:tc>
          <w:tcPr>
            <w:tcW w:w="988" w:type="dxa"/>
            <w:vAlign w:val="center"/>
          </w:tcPr>
          <w:p w14:paraId="28C6FF17" w14:textId="77777777" w:rsidR="00711C62" w:rsidRDefault="00000000">
            <w:pPr>
              <w:jc w:val="center"/>
              <w:rPr>
                <w:rFonts w:ascii="仿宋" w:eastAsia="仿宋" w:hAnsi="仿宋" w:cs="仿宋"/>
                <w:b/>
                <w:bCs/>
                <w:kern w:val="0"/>
                <w:sz w:val="24"/>
              </w:rPr>
            </w:pPr>
            <w:r>
              <w:rPr>
                <w:rFonts w:ascii="仿宋" w:eastAsia="仿宋" w:hAnsi="仿宋" w:cs="仿宋" w:hint="eastAsia"/>
                <w:b/>
                <w:bCs/>
                <w:kern w:val="0"/>
                <w:sz w:val="24"/>
              </w:rPr>
              <w:lastRenderedPageBreak/>
              <w:t>副组长</w:t>
            </w:r>
          </w:p>
        </w:tc>
        <w:tc>
          <w:tcPr>
            <w:tcW w:w="1833" w:type="dxa"/>
            <w:vAlign w:val="center"/>
          </w:tcPr>
          <w:p w14:paraId="7534DF3B" w14:textId="77777777" w:rsidR="00711C62" w:rsidRDefault="00000000">
            <w:pPr>
              <w:jc w:val="center"/>
              <w:rPr>
                <w:rFonts w:ascii="仿宋" w:eastAsia="仿宋" w:hAnsi="仿宋" w:cs="仿宋"/>
                <w:kern w:val="0"/>
                <w:sz w:val="24"/>
              </w:rPr>
            </w:pPr>
            <w:r>
              <w:rPr>
                <w:rFonts w:ascii="仿宋" w:eastAsia="仿宋" w:hAnsi="仿宋" w:cs="仿宋" w:hint="eastAsia"/>
                <w:kern w:val="0"/>
                <w:sz w:val="24"/>
              </w:rPr>
              <w:t>刘晓伟</w:t>
            </w:r>
          </w:p>
        </w:tc>
        <w:tc>
          <w:tcPr>
            <w:tcW w:w="2136" w:type="dxa"/>
            <w:vAlign w:val="center"/>
          </w:tcPr>
          <w:p w14:paraId="0864DE63" w14:textId="77777777" w:rsidR="00711C62" w:rsidRDefault="00000000">
            <w:pPr>
              <w:jc w:val="center"/>
              <w:rPr>
                <w:rFonts w:ascii="仿宋" w:eastAsia="仿宋" w:hAnsi="仿宋" w:cs="仿宋"/>
                <w:kern w:val="0"/>
                <w:sz w:val="24"/>
              </w:rPr>
            </w:pPr>
            <w:r>
              <w:rPr>
                <w:rFonts w:ascii="仿宋" w:eastAsia="仿宋" w:hAnsi="仿宋" w:cs="仿宋" w:hint="eastAsia"/>
                <w:kern w:val="0"/>
                <w:sz w:val="24"/>
              </w:rPr>
              <w:t>教学副院长</w:t>
            </w:r>
          </w:p>
        </w:tc>
        <w:tc>
          <w:tcPr>
            <w:tcW w:w="1134" w:type="dxa"/>
            <w:vAlign w:val="center"/>
          </w:tcPr>
          <w:p w14:paraId="20B42A7F" w14:textId="77777777" w:rsidR="00711C62" w:rsidRDefault="00000000">
            <w:pPr>
              <w:jc w:val="center"/>
              <w:rPr>
                <w:rFonts w:ascii="仿宋" w:eastAsia="仿宋" w:hAnsi="仿宋" w:cs="仿宋"/>
                <w:kern w:val="0"/>
                <w:sz w:val="24"/>
              </w:rPr>
            </w:pPr>
            <w:r>
              <w:rPr>
                <w:rFonts w:ascii="仿宋" w:eastAsia="仿宋" w:hAnsi="仿宋" w:cs="仿宋" w:hint="eastAsia"/>
                <w:kern w:val="0"/>
                <w:sz w:val="24"/>
              </w:rPr>
              <w:t>教授</w:t>
            </w:r>
          </w:p>
        </w:tc>
        <w:tc>
          <w:tcPr>
            <w:tcW w:w="2333" w:type="dxa"/>
            <w:vAlign w:val="center"/>
          </w:tcPr>
          <w:p w14:paraId="3ACF1C42" w14:textId="77777777" w:rsidR="00711C62" w:rsidRDefault="00000000">
            <w:pPr>
              <w:jc w:val="center"/>
              <w:rPr>
                <w:rFonts w:ascii="仿宋" w:eastAsia="仿宋" w:hAnsi="仿宋" w:cs="仿宋"/>
                <w:kern w:val="0"/>
                <w:sz w:val="24"/>
              </w:rPr>
            </w:pPr>
            <w:r>
              <w:rPr>
                <w:rFonts w:ascii="仿宋" w:eastAsia="仿宋" w:hAnsi="仿宋" w:cs="仿宋" w:hint="eastAsia"/>
                <w:kern w:val="0"/>
                <w:sz w:val="24"/>
              </w:rPr>
              <w:t>辽宁理工职业大学</w:t>
            </w:r>
          </w:p>
        </w:tc>
      </w:tr>
      <w:tr w:rsidR="00711C62" w14:paraId="6CB9B3D5" w14:textId="77777777">
        <w:trPr>
          <w:trHeight w:val="567"/>
        </w:trPr>
        <w:tc>
          <w:tcPr>
            <w:tcW w:w="988" w:type="dxa"/>
            <w:vMerge w:val="restart"/>
            <w:vAlign w:val="center"/>
          </w:tcPr>
          <w:p w14:paraId="4B38C36D" w14:textId="77777777" w:rsidR="00711C62" w:rsidRDefault="00000000">
            <w:pPr>
              <w:jc w:val="center"/>
              <w:rPr>
                <w:rFonts w:ascii="仿宋" w:eastAsia="仿宋" w:hAnsi="仿宋" w:cs="仿宋"/>
                <w:b/>
                <w:bCs/>
                <w:kern w:val="0"/>
                <w:sz w:val="24"/>
              </w:rPr>
            </w:pPr>
            <w:r>
              <w:rPr>
                <w:rFonts w:ascii="仿宋" w:eastAsia="仿宋" w:hAnsi="仿宋" w:cs="仿宋" w:hint="eastAsia"/>
                <w:b/>
                <w:bCs/>
                <w:kern w:val="0"/>
                <w:sz w:val="24"/>
              </w:rPr>
              <w:t>成员</w:t>
            </w:r>
          </w:p>
        </w:tc>
        <w:tc>
          <w:tcPr>
            <w:tcW w:w="1833" w:type="dxa"/>
            <w:vAlign w:val="center"/>
          </w:tcPr>
          <w:p w14:paraId="5BADFA99" w14:textId="77777777" w:rsidR="00711C62" w:rsidRDefault="00000000">
            <w:pPr>
              <w:jc w:val="center"/>
              <w:rPr>
                <w:rFonts w:ascii="仿宋" w:eastAsia="仿宋" w:hAnsi="仿宋" w:cs="仿宋"/>
                <w:kern w:val="0"/>
                <w:sz w:val="24"/>
              </w:rPr>
            </w:pPr>
            <w:r>
              <w:rPr>
                <w:rFonts w:ascii="仿宋" w:eastAsia="仿宋" w:hAnsi="仿宋" w:cs="仿宋" w:hint="eastAsia"/>
                <w:kern w:val="0"/>
                <w:sz w:val="24"/>
              </w:rPr>
              <w:t>吕银</w:t>
            </w:r>
          </w:p>
        </w:tc>
        <w:tc>
          <w:tcPr>
            <w:tcW w:w="2136" w:type="dxa"/>
            <w:vAlign w:val="center"/>
          </w:tcPr>
          <w:p w14:paraId="3C739CCB" w14:textId="77777777" w:rsidR="00711C62" w:rsidRDefault="00000000">
            <w:pPr>
              <w:jc w:val="center"/>
              <w:rPr>
                <w:rFonts w:ascii="仿宋" w:eastAsia="仿宋" w:hAnsi="仿宋" w:cs="仿宋"/>
                <w:kern w:val="0"/>
                <w:sz w:val="24"/>
              </w:rPr>
            </w:pPr>
            <w:r>
              <w:rPr>
                <w:rFonts w:ascii="仿宋" w:eastAsia="仿宋" w:hAnsi="仿宋" w:cs="仿宋" w:hint="eastAsia"/>
                <w:kern w:val="0"/>
                <w:sz w:val="24"/>
              </w:rPr>
              <w:t>教学副院长</w:t>
            </w:r>
          </w:p>
        </w:tc>
        <w:tc>
          <w:tcPr>
            <w:tcW w:w="1134" w:type="dxa"/>
            <w:vAlign w:val="center"/>
          </w:tcPr>
          <w:p w14:paraId="3A52F016" w14:textId="77777777" w:rsidR="00711C62" w:rsidRDefault="00000000">
            <w:pPr>
              <w:jc w:val="center"/>
              <w:rPr>
                <w:rFonts w:ascii="仿宋" w:eastAsia="仿宋" w:hAnsi="仿宋" w:cs="仿宋"/>
                <w:kern w:val="0"/>
                <w:sz w:val="24"/>
              </w:rPr>
            </w:pPr>
            <w:r>
              <w:rPr>
                <w:rFonts w:ascii="仿宋" w:eastAsia="仿宋" w:hAnsi="仿宋" w:cs="仿宋" w:hint="eastAsia"/>
                <w:kern w:val="0"/>
                <w:sz w:val="24"/>
              </w:rPr>
              <w:t>教授</w:t>
            </w:r>
          </w:p>
        </w:tc>
        <w:tc>
          <w:tcPr>
            <w:tcW w:w="2333" w:type="dxa"/>
            <w:vAlign w:val="center"/>
          </w:tcPr>
          <w:p w14:paraId="1AD15BC1" w14:textId="77777777" w:rsidR="00711C62" w:rsidRDefault="00000000">
            <w:pPr>
              <w:jc w:val="center"/>
              <w:rPr>
                <w:rFonts w:ascii="仿宋" w:eastAsia="仿宋" w:hAnsi="仿宋" w:cs="仿宋"/>
                <w:kern w:val="0"/>
                <w:sz w:val="24"/>
              </w:rPr>
            </w:pPr>
            <w:r>
              <w:rPr>
                <w:rFonts w:ascii="仿宋" w:eastAsia="仿宋" w:hAnsi="仿宋" w:cs="仿宋" w:hint="eastAsia"/>
                <w:kern w:val="0"/>
                <w:sz w:val="24"/>
              </w:rPr>
              <w:t>辽宁理工职业大学</w:t>
            </w:r>
          </w:p>
        </w:tc>
      </w:tr>
      <w:tr w:rsidR="00711C62" w14:paraId="57EF4FCD" w14:textId="77777777">
        <w:trPr>
          <w:trHeight w:val="567"/>
        </w:trPr>
        <w:tc>
          <w:tcPr>
            <w:tcW w:w="988" w:type="dxa"/>
            <w:vMerge/>
            <w:vAlign w:val="center"/>
          </w:tcPr>
          <w:p w14:paraId="2B34DF7A" w14:textId="77777777" w:rsidR="00711C62" w:rsidRDefault="00711C62">
            <w:pPr>
              <w:jc w:val="center"/>
              <w:rPr>
                <w:rFonts w:ascii="仿宋" w:eastAsia="仿宋" w:hAnsi="仿宋" w:cs="仿宋"/>
                <w:b/>
                <w:bCs/>
                <w:kern w:val="0"/>
                <w:sz w:val="24"/>
              </w:rPr>
            </w:pPr>
          </w:p>
        </w:tc>
        <w:tc>
          <w:tcPr>
            <w:tcW w:w="1833" w:type="dxa"/>
            <w:vAlign w:val="center"/>
          </w:tcPr>
          <w:p w14:paraId="266E10C8" w14:textId="77777777" w:rsidR="00711C62" w:rsidRDefault="00000000">
            <w:pPr>
              <w:jc w:val="center"/>
              <w:rPr>
                <w:rFonts w:ascii="仿宋" w:eastAsia="仿宋" w:hAnsi="仿宋" w:cs="仿宋"/>
                <w:kern w:val="0"/>
                <w:sz w:val="24"/>
              </w:rPr>
            </w:pPr>
            <w:r>
              <w:rPr>
                <w:rFonts w:ascii="仿宋" w:eastAsia="仿宋" w:hAnsi="仿宋" w:cs="仿宋" w:hint="eastAsia"/>
                <w:kern w:val="0"/>
                <w:sz w:val="24"/>
              </w:rPr>
              <w:t>金辉</w:t>
            </w:r>
          </w:p>
        </w:tc>
        <w:tc>
          <w:tcPr>
            <w:tcW w:w="2136" w:type="dxa"/>
            <w:vAlign w:val="center"/>
          </w:tcPr>
          <w:p w14:paraId="67868ABE" w14:textId="77777777" w:rsidR="00711C62" w:rsidRDefault="00000000">
            <w:pPr>
              <w:jc w:val="center"/>
              <w:rPr>
                <w:rFonts w:ascii="仿宋" w:eastAsia="仿宋" w:hAnsi="仿宋" w:cs="仿宋"/>
                <w:kern w:val="0"/>
                <w:sz w:val="24"/>
              </w:rPr>
            </w:pPr>
            <w:r>
              <w:rPr>
                <w:rFonts w:ascii="仿宋" w:eastAsia="仿宋" w:hAnsi="仿宋" w:cs="仿宋" w:hint="eastAsia"/>
                <w:kern w:val="0"/>
                <w:sz w:val="24"/>
              </w:rPr>
              <w:t>专业带头人</w:t>
            </w:r>
          </w:p>
        </w:tc>
        <w:tc>
          <w:tcPr>
            <w:tcW w:w="1134" w:type="dxa"/>
            <w:vAlign w:val="center"/>
          </w:tcPr>
          <w:p w14:paraId="2F857CCE" w14:textId="77777777" w:rsidR="00711C62" w:rsidRDefault="00000000">
            <w:pPr>
              <w:jc w:val="center"/>
              <w:rPr>
                <w:rFonts w:ascii="仿宋" w:eastAsia="仿宋" w:hAnsi="仿宋" w:cs="仿宋"/>
                <w:kern w:val="0"/>
                <w:sz w:val="24"/>
              </w:rPr>
            </w:pPr>
            <w:r>
              <w:rPr>
                <w:rFonts w:ascii="仿宋" w:eastAsia="仿宋" w:hAnsi="仿宋" w:cs="仿宋" w:hint="eastAsia"/>
                <w:kern w:val="0"/>
                <w:sz w:val="24"/>
              </w:rPr>
              <w:t>教授</w:t>
            </w:r>
          </w:p>
        </w:tc>
        <w:tc>
          <w:tcPr>
            <w:tcW w:w="2333" w:type="dxa"/>
            <w:vAlign w:val="center"/>
          </w:tcPr>
          <w:p w14:paraId="2F11C640" w14:textId="77777777" w:rsidR="00711C62" w:rsidRDefault="00000000">
            <w:pPr>
              <w:jc w:val="center"/>
              <w:rPr>
                <w:rFonts w:ascii="仿宋" w:eastAsia="仿宋" w:hAnsi="仿宋" w:cs="仿宋"/>
                <w:kern w:val="0"/>
                <w:sz w:val="24"/>
              </w:rPr>
            </w:pPr>
            <w:r>
              <w:rPr>
                <w:rFonts w:ascii="仿宋" w:eastAsia="仿宋" w:hAnsi="仿宋" w:cs="仿宋" w:hint="eastAsia"/>
                <w:kern w:val="0"/>
                <w:sz w:val="24"/>
              </w:rPr>
              <w:t>辽宁理工职业大学</w:t>
            </w:r>
          </w:p>
        </w:tc>
      </w:tr>
      <w:tr w:rsidR="00711C62" w14:paraId="65DFE1FB" w14:textId="77777777">
        <w:trPr>
          <w:trHeight w:val="567"/>
        </w:trPr>
        <w:tc>
          <w:tcPr>
            <w:tcW w:w="988" w:type="dxa"/>
            <w:vMerge/>
            <w:vAlign w:val="center"/>
          </w:tcPr>
          <w:p w14:paraId="12D5616A" w14:textId="77777777" w:rsidR="00711C62" w:rsidRDefault="00711C62">
            <w:pPr>
              <w:jc w:val="center"/>
              <w:rPr>
                <w:rFonts w:ascii="仿宋" w:eastAsia="仿宋" w:hAnsi="仿宋" w:cs="仿宋"/>
                <w:b/>
                <w:bCs/>
                <w:kern w:val="0"/>
                <w:sz w:val="24"/>
              </w:rPr>
            </w:pPr>
          </w:p>
        </w:tc>
        <w:tc>
          <w:tcPr>
            <w:tcW w:w="1833" w:type="dxa"/>
            <w:vAlign w:val="center"/>
          </w:tcPr>
          <w:p w14:paraId="1F06CF3D" w14:textId="77777777" w:rsidR="00711C62" w:rsidRDefault="00000000">
            <w:pPr>
              <w:jc w:val="center"/>
              <w:rPr>
                <w:rFonts w:ascii="仿宋" w:eastAsia="仿宋" w:hAnsi="仿宋" w:cs="仿宋"/>
                <w:kern w:val="0"/>
                <w:sz w:val="24"/>
              </w:rPr>
            </w:pPr>
            <w:r>
              <w:rPr>
                <w:rFonts w:ascii="仿宋" w:eastAsia="仿宋" w:hAnsi="仿宋" w:cs="仿宋" w:hint="eastAsia"/>
                <w:kern w:val="0"/>
                <w:sz w:val="24"/>
              </w:rPr>
              <w:t>王静</w:t>
            </w:r>
          </w:p>
        </w:tc>
        <w:tc>
          <w:tcPr>
            <w:tcW w:w="2136" w:type="dxa"/>
            <w:vAlign w:val="center"/>
          </w:tcPr>
          <w:p w14:paraId="634925AF" w14:textId="77777777" w:rsidR="00711C62" w:rsidRDefault="00000000">
            <w:pPr>
              <w:jc w:val="center"/>
              <w:rPr>
                <w:rFonts w:ascii="仿宋" w:eastAsia="仿宋" w:hAnsi="仿宋" w:cs="仿宋"/>
                <w:kern w:val="0"/>
                <w:sz w:val="24"/>
              </w:rPr>
            </w:pPr>
            <w:r>
              <w:rPr>
                <w:rFonts w:ascii="仿宋" w:eastAsia="仿宋" w:hAnsi="仿宋" w:cs="仿宋" w:hint="eastAsia"/>
                <w:kern w:val="0"/>
                <w:sz w:val="24"/>
              </w:rPr>
              <w:t>专业主任</w:t>
            </w:r>
          </w:p>
        </w:tc>
        <w:tc>
          <w:tcPr>
            <w:tcW w:w="1134" w:type="dxa"/>
            <w:vAlign w:val="center"/>
          </w:tcPr>
          <w:p w14:paraId="08379234" w14:textId="77777777" w:rsidR="00711C62" w:rsidRDefault="00000000">
            <w:pPr>
              <w:jc w:val="center"/>
              <w:rPr>
                <w:rFonts w:ascii="仿宋" w:eastAsia="仿宋" w:hAnsi="仿宋" w:cs="仿宋"/>
                <w:kern w:val="0"/>
                <w:sz w:val="24"/>
              </w:rPr>
            </w:pPr>
            <w:r>
              <w:rPr>
                <w:rFonts w:ascii="仿宋" w:eastAsia="仿宋" w:hAnsi="仿宋" w:cs="仿宋" w:hint="eastAsia"/>
                <w:kern w:val="0"/>
                <w:sz w:val="24"/>
              </w:rPr>
              <w:t>教授</w:t>
            </w:r>
          </w:p>
        </w:tc>
        <w:tc>
          <w:tcPr>
            <w:tcW w:w="2333" w:type="dxa"/>
            <w:vAlign w:val="center"/>
          </w:tcPr>
          <w:p w14:paraId="56F09062" w14:textId="77777777" w:rsidR="00711C62" w:rsidRDefault="00000000">
            <w:pPr>
              <w:jc w:val="center"/>
              <w:rPr>
                <w:rFonts w:ascii="仿宋" w:eastAsia="仿宋" w:hAnsi="仿宋" w:cs="仿宋"/>
                <w:kern w:val="0"/>
                <w:sz w:val="24"/>
              </w:rPr>
            </w:pPr>
            <w:r>
              <w:rPr>
                <w:rFonts w:ascii="仿宋" w:eastAsia="仿宋" w:hAnsi="仿宋" w:cs="仿宋" w:hint="eastAsia"/>
                <w:kern w:val="0"/>
                <w:sz w:val="24"/>
              </w:rPr>
              <w:t>辽宁理工职业大学</w:t>
            </w:r>
          </w:p>
        </w:tc>
      </w:tr>
      <w:tr w:rsidR="00711C62" w14:paraId="524DA5E3" w14:textId="77777777">
        <w:trPr>
          <w:trHeight w:val="567"/>
        </w:trPr>
        <w:tc>
          <w:tcPr>
            <w:tcW w:w="988" w:type="dxa"/>
            <w:vMerge/>
            <w:vAlign w:val="center"/>
          </w:tcPr>
          <w:p w14:paraId="58ED46FA" w14:textId="77777777" w:rsidR="00711C62" w:rsidRDefault="00711C62">
            <w:pPr>
              <w:jc w:val="center"/>
              <w:rPr>
                <w:rFonts w:ascii="仿宋" w:eastAsia="仿宋" w:hAnsi="仿宋" w:cs="仿宋"/>
                <w:kern w:val="0"/>
                <w:sz w:val="24"/>
              </w:rPr>
            </w:pPr>
          </w:p>
        </w:tc>
        <w:tc>
          <w:tcPr>
            <w:tcW w:w="1833" w:type="dxa"/>
            <w:vAlign w:val="center"/>
          </w:tcPr>
          <w:p w14:paraId="21C8DB22" w14:textId="77777777" w:rsidR="00711C62" w:rsidRDefault="00000000">
            <w:pPr>
              <w:jc w:val="center"/>
              <w:rPr>
                <w:rFonts w:ascii="仿宋" w:eastAsia="仿宋" w:hAnsi="仿宋" w:cs="仿宋"/>
                <w:kern w:val="0"/>
                <w:sz w:val="24"/>
              </w:rPr>
            </w:pPr>
            <w:r>
              <w:rPr>
                <w:rFonts w:ascii="仿宋" w:eastAsia="仿宋" w:hAnsi="仿宋" w:cs="仿宋" w:hint="eastAsia"/>
                <w:kern w:val="0"/>
                <w:sz w:val="24"/>
              </w:rPr>
              <w:t>刘树娟</w:t>
            </w:r>
          </w:p>
        </w:tc>
        <w:tc>
          <w:tcPr>
            <w:tcW w:w="2136" w:type="dxa"/>
            <w:vAlign w:val="center"/>
          </w:tcPr>
          <w:p w14:paraId="318B79EC" w14:textId="77777777" w:rsidR="00711C62" w:rsidRDefault="00000000">
            <w:pPr>
              <w:jc w:val="center"/>
              <w:rPr>
                <w:rFonts w:ascii="仿宋" w:eastAsia="仿宋" w:hAnsi="仿宋" w:cs="仿宋"/>
                <w:kern w:val="0"/>
                <w:sz w:val="24"/>
              </w:rPr>
            </w:pPr>
            <w:r>
              <w:rPr>
                <w:rFonts w:ascii="仿宋" w:eastAsia="仿宋" w:hAnsi="仿宋" w:cs="仿宋" w:hint="eastAsia"/>
                <w:kern w:val="0"/>
                <w:sz w:val="24"/>
              </w:rPr>
              <w:t>专业副主任</w:t>
            </w:r>
          </w:p>
        </w:tc>
        <w:tc>
          <w:tcPr>
            <w:tcW w:w="1134" w:type="dxa"/>
            <w:vAlign w:val="center"/>
          </w:tcPr>
          <w:p w14:paraId="4ED13304" w14:textId="77777777" w:rsidR="00711C62" w:rsidRDefault="00000000">
            <w:pPr>
              <w:jc w:val="center"/>
              <w:rPr>
                <w:rFonts w:ascii="仿宋" w:eastAsia="仿宋" w:hAnsi="仿宋" w:cs="仿宋"/>
                <w:kern w:val="0"/>
                <w:sz w:val="24"/>
              </w:rPr>
            </w:pPr>
            <w:r>
              <w:rPr>
                <w:rFonts w:ascii="仿宋" w:eastAsia="仿宋" w:hAnsi="仿宋" w:cs="仿宋" w:hint="eastAsia"/>
                <w:kern w:val="0"/>
                <w:sz w:val="24"/>
              </w:rPr>
              <w:t>副教授</w:t>
            </w:r>
          </w:p>
        </w:tc>
        <w:tc>
          <w:tcPr>
            <w:tcW w:w="2333" w:type="dxa"/>
            <w:vAlign w:val="center"/>
          </w:tcPr>
          <w:p w14:paraId="4A9F09F4" w14:textId="77777777" w:rsidR="00711C62" w:rsidRDefault="00000000">
            <w:pPr>
              <w:jc w:val="center"/>
              <w:rPr>
                <w:rFonts w:ascii="仿宋" w:eastAsia="仿宋" w:hAnsi="仿宋" w:cs="仿宋"/>
                <w:kern w:val="0"/>
                <w:sz w:val="24"/>
              </w:rPr>
            </w:pPr>
            <w:r>
              <w:rPr>
                <w:rFonts w:ascii="仿宋" w:eastAsia="仿宋" w:hAnsi="仿宋" w:cs="仿宋" w:hint="eastAsia"/>
                <w:kern w:val="0"/>
                <w:sz w:val="24"/>
              </w:rPr>
              <w:t>辽宁理工职业大学</w:t>
            </w:r>
          </w:p>
        </w:tc>
      </w:tr>
      <w:tr w:rsidR="00711C62" w14:paraId="7884077C" w14:textId="77777777">
        <w:trPr>
          <w:trHeight w:val="567"/>
        </w:trPr>
        <w:tc>
          <w:tcPr>
            <w:tcW w:w="988" w:type="dxa"/>
            <w:vMerge/>
            <w:vAlign w:val="center"/>
          </w:tcPr>
          <w:p w14:paraId="07E1E3EA" w14:textId="77777777" w:rsidR="00711C62" w:rsidRDefault="00711C62">
            <w:pPr>
              <w:jc w:val="center"/>
              <w:rPr>
                <w:rFonts w:ascii="仿宋" w:eastAsia="仿宋" w:hAnsi="仿宋" w:cs="仿宋"/>
                <w:kern w:val="0"/>
                <w:sz w:val="24"/>
              </w:rPr>
            </w:pPr>
          </w:p>
        </w:tc>
        <w:tc>
          <w:tcPr>
            <w:tcW w:w="1833" w:type="dxa"/>
            <w:vAlign w:val="center"/>
          </w:tcPr>
          <w:p w14:paraId="7FF13171" w14:textId="77777777" w:rsidR="00711C62" w:rsidRDefault="00000000">
            <w:pPr>
              <w:jc w:val="center"/>
              <w:rPr>
                <w:rFonts w:ascii="仿宋" w:eastAsia="仿宋" w:hAnsi="仿宋" w:cs="仿宋"/>
                <w:kern w:val="0"/>
                <w:sz w:val="24"/>
              </w:rPr>
            </w:pPr>
            <w:r>
              <w:rPr>
                <w:rFonts w:ascii="仿宋" w:eastAsia="仿宋" w:hAnsi="仿宋" w:cs="仿宋" w:hint="eastAsia"/>
                <w:kern w:val="0"/>
                <w:sz w:val="24"/>
              </w:rPr>
              <w:t>李岩</w:t>
            </w:r>
          </w:p>
        </w:tc>
        <w:tc>
          <w:tcPr>
            <w:tcW w:w="2136" w:type="dxa"/>
            <w:vAlign w:val="center"/>
          </w:tcPr>
          <w:p w14:paraId="6302A70C" w14:textId="77777777" w:rsidR="00711C62" w:rsidRDefault="00000000">
            <w:pPr>
              <w:jc w:val="center"/>
              <w:rPr>
                <w:rFonts w:ascii="仿宋" w:eastAsia="仿宋" w:hAnsi="仿宋" w:cs="仿宋"/>
                <w:kern w:val="0"/>
                <w:sz w:val="24"/>
              </w:rPr>
            </w:pPr>
            <w:r>
              <w:rPr>
                <w:rFonts w:ascii="仿宋" w:eastAsia="仿宋" w:hAnsi="仿宋" w:cs="仿宋" w:hint="eastAsia"/>
                <w:kern w:val="0"/>
                <w:sz w:val="24"/>
              </w:rPr>
              <w:t>专业副主任</w:t>
            </w:r>
          </w:p>
        </w:tc>
        <w:tc>
          <w:tcPr>
            <w:tcW w:w="1134" w:type="dxa"/>
            <w:vAlign w:val="center"/>
          </w:tcPr>
          <w:p w14:paraId="77CF5FE2" w14:textId="77777777" w:rsidR="00711C62" w:rsidRDefault="00000000">
            <w:pPr>
              <w:jc w:val="center"/>
              <w:rPr>
                <w:rFonts w:ascii="仿宋" w:eastAsia="仿宋" w:hAnsi="仿宋" w:cs="仿宋"/>
                <w:kern w:val="0"/>
                <w:sz w:val="24"/>
              </w:rPr>
            </w:pPr>
            <w:r>
              <w:rPr>
                <w:rFonts w:ascii="仿宋" w:eastAsia="仿宋" w:hAnsi="仿宋" w:cs="仿宋" w:hint="eastAsia"/>
                <w:kern w:val="0"/>
                <w:sz w:val="24"/>
              </w:rPr>
              <w:t>副教授</w:t>
            </w:r>
          </w:p>
        </w:tc>
        <w:tc>
          <w:tcPr>
            <w:tcW w:w="2333" w:type="dxa"/>
            <w:vAlign w:val="center"/>
          </w:tcPr>
          <w:p w14:paraId="699E49D9" w14:textId="77777777" w:rsidR="00711C62" w:rsidRDefault="00000000">
            <w:pPr>
              <w:jc w:val="center"/>
              <w:rPr>
                <w:rFonts w:ascii="仿宋" w:eastAsia="仿宋" w:hAnsi="仿宋" w:cs="仿宋"/>
                <w:kern w:val="0"/>
                <w:sz w:val="24"/>
              </w:rPr>
            </w:pPr>
            <w:r>
              <w:rPr>
                <w:rFonts w:ascii="仿宋" w:eastAsia="仿宋" w:hAnsi="仿宋" w:cs="仿宋" w:hint="eastAsia"/>
                <w:kern w:val="0"/>
                <w:sz w:val="24"/>
              </w:rPr>
              <w:t>辽宁理工职业大学</w:t>
            </w:r>
          </w:p>
        </w:tc>
      </w:tr>
      <w:tr w:rsidR="00711C62" w14:paraId="345D87F8" w14:textId="77777777">
        <w:trPr>
          <w:trHeight w:val="567"/>
        </w:trPr>
        <w:tc>
          <w:tcPr>
            <w:tcW w:w="988" w:type="dxa"/>
            <w:vMerge/>
            <w:vAlign w:val="center"/>
          </w:tcPr>
          <w:p w14:paraId="7C201156" w14:textId="77777777" w:rsidR="00711C62" w:rsidRDefault="00711C62">
            <w:pPr>
              <w:jc w:val="center"/>
              <w:rPr>
                <w:rFonts w:ascii="仿宋" w:eastAsia="仿宋" w:hAnsi="仿宋" w:cs="仿宋"/>
                <w:kern w:val="0"/>
                <w:sz w:val="24"/>
              </w:rPr>
            </w:pPr>
          </w:p>
        </w:tc>
        <w:tc>
          <w:tcPr>
            <w:tcW w:w="1833" w:type="dxa"/>
            <w:vAlign w:val="center"/>
          </w:tcPr>
          <w:p w14:paraId="754602A8" w14:textId="77777777" w:rsidR="00711C62" w:rsidRDefault="00000000">
            <w:pPr>
              <w:jc w:val="center"/>
              <w:rPr>
                <w:rFonts w:ascii="仿宋" w:eastAsia="仿宋" w:hAnsi="仿宋" w:cs="仿宋"/>
                <w:kern w:val="0"/>
                <w:sz w:val="24"/>
              </w:rPr>
            </w:pPr>
            <w:r>
              <w:rPr>
                <w:rFonts w:ascii="仿宋" w:eastAsia="仿宋" w:hAnsi="仿宋" w:cs="仿宋" w:hint="eastAsia"/>
                <w:kern w:val="0"/>
                <w:sz w:val="24"/>
              </w:rPr>
              <w:t>范广辉</w:t>
            </w:r>
          </w:p>
        </w:tc>
        <w:tc>
          <w:tcPr>
            <w:tcW w:w="2136" w:type="dxa"/>
            <w:vAlign w:val="center"/>
          </w:tcPr>
          <w:p w14:paraId="19E0CEF6" w14:textId="77777777" w:rsidR="00711C62" w:rsidRDefault="00000000">
            <w:pPr>
              <w:jc w:val="center"/>
              <w:rPr>
                <w:rFonts w:ascii="仿宋" w:eastAsia="仿宋" w:hAnsi="仿宋" w:cs="仿宋"/>
                <w:kern w:val="0"/>
                <w:sz w:val="24"/>
              </w:rPr>
            </w:pPr>
            <w:r>
              <w:rPr>
                <w:rFonts w:ascii="仿宋" w:eastAsia="仿宋" w:hAnsi="仿宋" w:cs="仿宋" w:hint="eastAsia"/>
                <w:kern w:val="0"/>
                <w:sz w:val="24"/>
              </w:rPr>
              <w:t>教育科技副总裁</w:t>
            </w:r>
          </w:p>
        </w:tc>
        <w:tc>
          <w:tcPr>
            <w:tcW w:w="1134" w:type="dxa"/>
            <w:vAlign w:val="center"/>
          </w:tcPr>
          <w:p w14:paraId="60706472" w14:textId="77777777" w:rsidR="00711C62" w:rsidRDefault="00711C62">
            <w:pPr>
              <w:jc w:val="center"/>
              <w:rPr>
                <w:rFonts w:ascii="仿宋" w:eastAsia="仿宋" w:hAnsi="仿宋" w:cs="仿宋"/>
                <w:kern w:val="0"/>
                <w:sz w:val="24"/>
              </w:rPr>
            </w:pPr>
          </w:p>
        </w:tc>
        <w:tc>
          <w:tcPr>
            <w:tcW w:w="2333" w:type="dxa"/>
            <w:vAlign w:val="center"/>
          </w:tcPr>
          <w:p w14:paraId="52CA4247" w14:textId="77777777" w:rsidR="00711C62" w:rsidRDefault="00000000">
            <w:pPr>
              <w:jc w:val="center"/>
              <w:rPr>
                <w:rFonts w:ascii="仿宋" w:eastAsia="仿宋" w:hAnsi="仿宋" w:cs="仿宋"/>
                <w:kern w:val="0"/>
                <w:sz w:val="24"/>
              </w:rPr>
            </w:pPr>
            <w:r>
              <w:rPr>
                <w:rFonts w:ascii="仿宋" w:eastAsia="仿宋" w:hAnsi="仿宋" w:cs="仿宋" w:hint="eastAsia"/>
                <w:kern w:val="0"/>
                <w:sz w:val="24"/>
              </w:rPr>
              <w:t>京东集团</w:t>
            </w:r>
          </w:p>
        </w:tc>
      </w:tr>
      <w:tr w:rsidR="00711C62" w14:paraId="076DF52D" w14:textId="77777777">
        <w:trPr>
          <w:trHeight w:val="567"/>
        </w:trPr>
        <w:tc>
          <w:tcPr>
            <w:tcW w:w="988" w:type="dxa"/>
            <w:vMerge/>
            <w:vAlign w:val="center"/>
          </w:tcPr>
          <w:p w14:paraId="0335F756" w14:textId="77777777" w:rsidR="00711C62" w:rsidRDefault="00711C62">
            <w:pPr>
              <w:jc w:val="center"/>
              <w:rPr>
                <w:rFonts w:ascii="仿宋" w:eastAsia="仿宋" w:hAnsi="仿宋" w:cs="仿宋"/>
                <w:kern w:val="0"/>
                <w:sz w:val="24"/>
              </w:rPr>
            </w:pPr>
          </w:p>
        </w:tc>
        <w:tc>
          <w:tcPr>
            <w:tcW w:w="1833" w:type="dxa"/>
            <w:vAlign w:val="center"/>
          </w:tcPr>
          <w:p w14:paraId="485E413C" w14:textId="77777777" w:rsidR="00711C62" w:rsidRDefault="00000000">
            <w:pPr>
              <w:jc w:val="center"/>
              <w:rPr>
                <w:rFonts w:ascii="仿宋" w:eastAsia="仿宋" w:hAnsi="仿宋" w:cs="仿宋"/>
                <w:kern w:val="0"/>
                <w:sz w:val="24"/>
              </w:rPr>
            </w:pPr>
            <w:r>
              <w:rPr>
                <w:rFonts w:ascii="仿宋" w:eastAsia="仿宋" w:hAnsi="仿宋" w:cs="仿宋" w:hint="eastAsia"/>
                <w:kern w:val="0"/>
                <w:sz w:val="24"/>
              </w:rPr>
              <w:t>许妍妩</w:t>
            </w:r>
          </w:p>
        </w:tc>
        <w:tc>
          <w:tcPr>
            <w:tcW w:w="2136" w:type="dxa"/>
            <w:vAlign w:val="center"/>
          </w:tcPr>
          <w:p w14:paraId="62F96DF8" w14:textId="77777777" w:rsidR="00711C62" w:rsidRDefault="00000000">
            <w:pPr>
              <w:jc w:val="center"/>
              <w:rPr>
                <w:rFonts w:ascii="仿宋" w:eastAsia="仿宋" w:hAnsi="仿宋" w:cs="仿宋"/>
                <w:kern w:val="0"/>
                <w:sz w:val="24"/>
              </w:rPr>
            </w:pPr>
            <w:r>
              <w:rPr>
                <w:rFonts w:ascii="仿宋" w:eastAsia="仿宋" w:hAnsi="仿宋" w:cs="仿宋" w:hint="eastAsia"/>
                <w:kern w:val="0"/>
                <w:sz w:val="24"/>
              </w:rPr>
              <w:t>物流教育解决方案经理</w:t>
            </w:r>
          </w:p>
        </w:tc>
        <w:tc>
          <w:tcPr>
            <w:tcW w:w="1134" w:type="dxa"/>
            <w:vAlign w:val="center"/>
          </w:tcPr>
          <w:p w14:paraId="15FCA567" w14:textId="77777777" w:rsidR="00711C62" w:rsidRDefault="00711C62">
            <w:pPr>
              <w:jc w:val="center"/>
              <w:rPr>
                <w:rFonts w:ascii="仿宋" w:eastAsia="仿宋" w:hAnsi="仿宋" w:cs="仿宋"/>
                <w:kern w:val="0"/>
                <w:sz w:val="24"/>
              </w:rPr>
            </w:pPr>
          </w:p>
        </w:tc>
        <w:tc>
          <w:tcPr>
            <w:tcW w:w="2333" w:type="dxa"/>
            <w:vAlign w:val="center"/>
          </w:tcPr>
          <w:p w14:paraId="18621FE3" w14:textId="77777777" w:rsidR="00711C62" w:rsidRDefault="00000000">
            <w:pPr>
              <w:jc w:val="center"/>
              <w:rPr>
                <w:rFonts w:ascii="仿宋" w:eastAsia="仿宋" w:hAnsi="仿宋" w:cs="仿宋"/>
                <w:kern w:val="0"/>
                <w:sz w:val="24"/>
              </w:rPr>
            </w:pPr>
            <w:r>
              <w:rPr>
                <w:rFonts w:ascii="仿宋" w:eastAsia="仿宋" w:hAnsi="仿宋" w:cs="仿宋" w:hint="eastAsia"/>
                <w:kern w:val="0"/>
                <w:sz w:val="24"/>
              </w:rPr>
              <w:t>京东集团</w:t>
            </w:r>
          </w:p>
        </w:tc>
      </w:tr>
      <w:tr w:rsidR="00711C62" w14:paraId="276B8DE4" w14:textId="77777777">
        <w:trPr>
          <w:trHeight w:val="567"/>
        </w:trPr>
        <w:tc>
          <w:tcPr>
            <w:tcW w:w="988" w:type="dxa"/>
            <w:vMerge/>
            <w:vAlign w:val="center"/>
          </w:tcPr>
          <w:p w14:paraId="20636B2F" w14:textId="77777777" w:rsidR="00711C62" w:rsidRDefault="00711C62">
            <w:pPr>
              <w:jc w:val="center"/>
              <w:rPr>
                <w:rFonts w:ascii="仿宋" w:eastAsia="仿宋" w:hAnsi="仿宋" w:cs="仿宋"/>
                <w:kern w:val="0"/>
                <w:sz w:val="24"/>
              </w:rPr>
            </w:pPr>
          </w:p>
        </w:tc>
        <w:tc>
          <w:tcPr>
            <w:tcW w:w="1833" w:type="dxa"/>
            <w:vAlign w:val="center"/>
          </w:tcPr>
          <w:p w14:paraId="2113A785" w14:textId="77777777" w:rsidR="00711C62" w:rsidRDefault="00000000">
            <w:pPr>
              <w:jc w:val="center"/>
              <w:rPr>
                <w:rFonts w:ascii="仿宋" w:eastAsia="仿宋" w:hAnsi="仿宋" w:cs="仿宋"/>
                <w:kern w:val="0"/>
                <w:sz w:val="24"/>
              </w:rPr>
            </w:pPr>
            <w:r>
              <w:rPr>
                <w:rFonts w:ascii="仿宋" w:eastAsia="仿宋" w:hAnsi="仿宋" w:cs="仿宋" w:hint="eastAsia"/>
                <w:kern w:val="0"/>
                <w:sz w:val="24"/>
              </w:rPr>
              <w:t>支万宇</w:t>
            </w:r>
          </w:p>
        </w:tc>
        <w:tc>
          <w:tcPr>
            <w:tcW w:w="2136" w:type="dxa"/>
            <w:vAlign w:val="center"/>
          </w:tcPr>
          <w:p w14:paraId="0A0E4AB3" w14:textId="77777777" w:rsidR="00711C62" w:rsidRDefault="00000000">
            <w:pPr>
              <w:jc w:val="center"/>
              <w:rPr>
                <w:rFonts w:ascii="仿宋" w:eastAsia="仿宋" w:hAnsi="仿宋" w:cs="仿宋"/>
                <w:kern w:val="0"/>
                <w:sz w:val="24"/>
              </w:rPr>
            </w:pPr>
            <w:r>
              <w:rPr>
                <w:rFonts w:ascii="仿宋" w:eastAsia="仿宋" w:hAnsi="仿宋" w:cs="仿宋" w:hint="eastAsia"/>
                <w:kern w:val="0"/>
                <w:sz w:val="24"/>
              </w:rPr>
              <w:t>辽宁区总经理</w:t>
            </w:r>
          </w:p>
        </w:tc>
        <w:tc>
          <w:tcPr>
            <w:tcW w:w="1134" w:type="dxa"/>
            <w:vAlign w:val="center"/>
          </w:tcPr>
          <w:p w14:paraId="61545D0A" w14:textId="77777777" w:rsidR="00711C62" w:rsidRDefault="00711C62">
            <w:pPr>
              <w:jc w:val="center"/>
              <w:rPr>
                <w:rFonts w:ascii="仿宋" w:eastAsia="仿宋" w:hAnsi="仿宋" w:cs="仿宋"/>
                <w:kern w:val="0"/>
                <w:sz w:val="24"/>
              </w:rPr>
            </w:pPr>
          </w:p>
        </w:tc>
        <w:tc>
          <w:tcPr>
            <w:tcW w:w="2333" w:type="dxa"/>
            <w:vAlign w:val="center"/>
          </w:tcPr>
          <w:p w14:paraId="7C822252" w14:textId="77777777" w:rsidR="00711C62" w:rsidRDefault="00000000">
            <w:pPr>
              <w:jc w:val="center"/>
              <w:rPr>
                <w:rFonts w:ascii="仿宋" w:eastAsia="仿宋" w:hAnsi="仿宋" w:cs="仿宋"/>
                <w:kern w:val="0"/>
                <w:sz w:val="24"/>
              </w:rPr>
            </w:pPr>
            <w:r>
              <w:rPr>
                <w:rFonts w:ascii="仿宋" w:eastAsia="仿宋" w:hAnsi="仿宋" w:cs="仿宋" w:hint="eastAsia"/>
                <w:kern w:val="0"/>
                <w:sz w:val="24"/>
              </w:rPr>
              <w:t>北京京邦达供应链科技有限公司</w:t>
            </w:r>
          </w:p>
        </w:tc>
      </w:tr>
      <w:tr w:rsidR="00711C62" w14:paraId="2EEA4840" w14:textId="77777777">
        <w:trPr>
          <w:trHeight w:val="567"/>
        </w:trPr>
        <w:tc>
          <w:tcPr>
            <w:tcW w:w="988" w:type="dxa"/>
            <w:vAlign w:val="center"/>
          </w:tcPr>
          <w:p w14:paraId="642F1F18" w14:textId="77777777" w:rsidR="00711C62" w:rsidRDefault="00711C62">
            <w:pPr>
              <w:jc w:val="center"/>
              <w:rPr>
                <w:rFonts w:ascii="仿宋" w:eastAsia="仿宋" w:hAnsi="仿宋" w:cs="仿宋"/>
                <w:kern w:val="0"/>
                <w:sz w:val="24"/>
              </w:rPr>
            </w:pPr>
          </w:p>
        </w:tc>
        <w:tc>
          <w:tcPr>
            <w:tcW w:w="1833" w:type="dxa"/>
            <w:vAlign w:val="center"/>
          </w:tcPr>
          <w:p w14:paraId="7EC8CF8E" w14:textId="77777777" w:rsidR="00711C62" w:rsidRDefault="00000000">
            <w:pPr>
              <w:jc w:val="center"/>
              <w:rPr>
                <w:rFonts w:ascii="仿宋" w:eastAsia="仿宋" w:hAnsi="仿宋" w:cs="仿宋"/>
                <w:kern w:val="0"/>
                <w:sz w:val="24"/>
              </w:rPr>
            </w:pPr>
            <w:r>
              <w:rPr>
                <w:rFonts w:ascii="仿宋" w:eastAsia="仿宋" w:hAnsi="仿宋" w:cs="仿宋" w:hint="eastAsia"/>
                <w:kern w:val="0"/>
                <w:sz w:val="24"/>
              </w:rPr>
              <w:t>丁旭佳</w:t>
            </w:r>
          </w:p>
        </w:tc>
        <w:tc>
          <w:tcPr>
            <w:tcW w:w="2136" w:type="dxa"/>
            <w:vAlign w:val="center"/>
          </w:tcPr>
          <w:p w14:paraId="78CF73BE" w14:textId="77777777" w:rsidR="00711C62" w:rsidRDefault="00000000">
            <w:pPr>
              <w:jc w:val="center"/>
              <w:rPr>
                <w:rFonts w:ascii="仿宋" w:eastAsia="仿宋" w:hAnsi="仿宋" w:cs="仿宋"/>
                <w:kern w:val="0"/>
                <w:sz w:val="24"/>
              </w:rPr>
            </w:pPr>
            <w:r>
              <w:rPr>
                <w:rFonts w:ascii="仿宋" w:eastAsia="仿宋" w:hAnsi="仿宋" w:cs="仿宋" w:hint="eastAsia"/>
                <w:kern w:val="0"/>
                <w:sz w:val="24"/>
              </w:rPr>
              <w:t>人事主管</w:t>
            </w:r>
          </w:p>
        </w:tc>
        <w:tc>
          <w:tcPr>
            <w:tcW w:w="1134" w:type="dxa"/>
            <w:vAlign w:val="center"/>
          </w:tcPr>
          <w:p w14:paraId="49983549" w14:textId="77777777" w:rsidR="00711C62" w:rsidRDefault="00711C62">
            <w:pPr>
              <w:jc w:val="center"/>
              <w:rPr>
                <w:rFonts w:ascii="仿宋" w:eastAsia="仿宋" w:hAnsi="仿宋" w:cs="仿宋"/>
                <w:kern w:val="0"/>
                <w:sz w:val="24"/>
              </w:rPr>
            </w:pPr>
          </w:p>
        </w:tc>
        <w:tc>
          <w:tcPr>
            <w:tcW w:w="2333" w:type="dxa"/>
            <w:vAlign w:val="center"/>
          </w:tcPr>
          <w:p w14:paraId="6F4115B2" w14:textId="77777777" w:rsidR="00711C62" w:rsidRDefault="00000000">
            <w:pPr>
              <w:jc w:val="center"/>
              <w:rPr>
                <w:rFonts w:ascii="仿宋" w:eastAsia="仿宋" w:hAnsi="仿宋" w:cs="仿宋"/>
                <w:kern w:val="0"/>
                <w:sz w:val="24"/>
              </w:rPr>
            </w:pPr>
            <w:r>
              <w:rPr>
                <w:rFonts w:ascii="仿宋" w:eastAsia="仿宋" w:hAnsi="仿宋" w:cs="仿宋" w:hint="eastAsia"/>
                <w:kern w:val="0"/>
                <w:sz w:val="24"/>
              </w:rPr>
              <w:t>辽宁京东世纪贸易有限公司</w:t>
            </w:r>
          </w:p>
        </w:tc>
      </w:tr>
    </w:tbl>
    <w:p w14:paraId="6CE27904" w14:textId="77777777" w:rsidR="00711C62" w:rsidRDefault="00711C62">
      <w:pPr>
        <w:rPr>
          <w:rFonts w:ascii="仿宋_GB2312" w:eastAsia="仿宋_GB2312"/>
          <w:kern w:val="0"/>
          <w:sz w:val="28"/>
          <w:szCs w:val="28"/>
        </w:rPr>
      </w:pPr>
    </w:p>
    <w:p w14:paraId="47499061" w14:textId="77777777" w:rsidR="00711C62" w:rsidRDefault="00000000">
      <w:pPr>
        <w:rPr>
          <w:rFonts w:ascii="仿宋_GB2312" w:eastAsia="仿宋_GB2312"/>
          <w:kern w:val="0"/>
          <w:sz w:val="28"/>
          <w:szCs w:val="28"/>
        </w:rPr>
      </w:pPr>
      <w:r>
        <w:rPr>
          <w:rFonts w:ascii="仿宋_GB2312" w:eastAsia="仿宋_GB2312" w:hint="eastAsia"/>
          <w:kern w:val="0"/>
          <w:sz w:val="28"/>
          <w:szCs w:val="28"/>
        </w:rPr>
        <w:t xml:space="preserve">院长：（签/章）                  </w:t>
      </w:r>
      <w:r>
        <w:rPr>
          <w:rFonts w:ascii="仿宋_GB2312" w:eastAsia="仿宋_GB2312"/>
          <w:kern w:val="0"/>
          <w:sz w:val="28"/>
          <w:szCs w:val="28"/>
        </w:rPr>
        <w:t xml:space="preserve">   </w:t>
      </w:r>
      <w:r>
        <w:rPr>
          <w:rFonts w:ascii="仿宋_GB2312" w:eastAsia="仿宋_GB2312" w:hint="eastAsia"/>
          <w:kern w:val="0"/>
          <w:sz w:val="28"/>
          <w:szCs w:val="28"/>
        </w:rPr>
        <w:t>日期：</w:t>
      </w:r>
    </w:p>
    <w:p w14:paraId="6C34B1BA" w14:textId="77777777" w:rsidR="00711C62" w:rsidRDefault="00711C62">
      <w:pPr>
        <w:pStyle w:val="a5"/>
        <w:ind w:firstLine="560"/>
        <w:rPr>
          <w:rFonts w:ascii="仿宋_GB2312" w:eastAsia="仿宋_GB2312"/>
          <w:sz w:val="28"/>
          <w:szCs w:val="28"/>
        </w:rPr>
      </w:pPr>
    </w:p>
    <w:p w14:paraId="3C931A44" w14:textId="77777777" w:rsidR="00711C62" w:rsidRDefault="00711C62">
      <w:pPr>
        <w:pStyle w:val="a5"/>
        <w:ind w:firstLine="560"/>
        <w:rPr>
          <w:rFonts w:ascii="仿宋_GB2312" w:eastAsia="仿宋_GB2312"/>
          <w:sz w:val="28"/>
          <w:szCs w:val="28"/>
        </w:rPr>
      </w:pPr>
    </w:p>
    <w:p w14:paraId="7263798B" w14:textId="77777777" w:rsidR="00711C62" w:rsidRDefault="00711C62">
      <w:pPr>
        <w:pStyle w:val="a5"/>
        <w:ind w:firstLine="560"/>
        <w:rPr>
          <w:rFonts w:ascii="仿宋_GB2312" w:eastAsia="仿宋_GB2312"/>
          <w:sz w:val="28"/>
          <w:szCs w:val="28"/>
        </w:rPr>
      </w:pPr>
    </w:p>
    <w:p w14:paraId="6D3AB757" w14:textId="77777777" w:rsidR="00711C62" w:rsidRDefault="00000000">
      <w:pPr>
        <w:pStyle w:val="1"/>
        <w:spacing w:line="360" w:lineRule="auto"/>
        <w:rPr>
          <w:rFonts w:ascii="黑体" w:eastAsia="黑体" w:hAnsi="黑体"/>
          <w:b w:val="0"/>
          <w:sz w:val="30"/>
          <w:szCs w:val="30"/>
        </w:rPr>
      </w:pPr>
      <w:bookmarkStart w:id="8" w:name="_Toc27036"/>
      <w:r>
        <w:rPr>
          <w:rFonts w:ascii="黑体" w:eastAsia="黑体" w:hAnsi="黑体" w:hint="eastAsia"/>
          <w:b w:val="0"/>
          <w:sz w:val="30"/>
          <w:szCs w:val="30"/>
        </w:rPr>
        <w:t>附表2</w:t>
      </w:r>
      <w:bookmarkEnd w:id="8"/>
    </w:p>
    <w:p w14:paraId="00986963" w14:textId="77777777" w:rsidR="00711C62" w:rsidRDefault="00000000">
      <w:pPr>
        <w:pStyle w:val="1"/>
        <w:spacing w:line="360" w:lineRule="auto"/>
        <w:jc w:val="center"/>
        <w:rPr>
          <w:rFonts w:ascii="黑体" w:eastAsia="黑体" w:hAnsi="黑体"/>
          <w:b w:val="0"/>
          <w:sz w:val="30"/>
          <w:szCs w:val="30"/>
        </w:rPr>
      </w:pPr>
      <w:bookmarkStart w:id="9" w:name="_Toc15800"/>
      <w:r>
        <w:rPr>
          <w:rFonts w:ascii="黑体" w:eastAsia="黑体" w:hAnsi="黑体" w:hint="eastAsia"/>
          <w:b w:val="0"/>
          <w:sz w:val="30"/>
          <w:szCs w:val="30"/>
        </w:rPr>
        <w:t>现代物流管理专业培养方案调研情况记录表</w:t>
      </w:r>
      <w:bookmarkEnd w:id="9"/>
    </w:p>
    <w:tbl>
      <w:tblPr>
        <w:tblStyle w:val="aa"/>
        <w:tblpPr w:leftFromText="180" w:rightFromText="180" w:vertAnchor="text" w:horzAnchor="page" w:tblpX="572" w:tblpY="387"/>
        <w:tblOverlap w:val="never"/>
        <w:tblW w:w="10951" w:type="dxa"/>
        <w:tblLayout w:type="fixed"/>
        <w:tblLook w:val="04A0" w:firstRow="1" w:lastRow="0" w:firstColumn="1" w:lastColumn="0" w:noHBand="0" w:noVBand="1"/>
      </w:tblPr>
      <w:tblGrid>
        <w:gridCol w:w="843"/>
        <w:gridCol w:w="1222"/>
        <w:gridCol w:w="1207"/>
        <w:gridCol w:w="1475"/>
        <w:gridCol w:w="1600"/>
        <w:gridCol w:w="2765"/>
        <w:gridCol w:w="1839"/>
      </w:tblGrid>
      <w:tr w:rsidR="00711C62" w14:paraId="507D8D89" w14:textId="77777777">
        <w:tc>
          <w:tcPr>
            <w:tcW w:w="843" w:type="dxa"/>
            <w:vAlign w:val="center"/>
          </w:tcPr>
          <w:p w14:paraId="720FBA47" w14:textId="77777777" w:rsidR="00711C62" w:rsidRDefault="00000000">
            <w:pPr>
              <w:spacing w:line="360" w:lineRule="auto"/>
              <w:jc w:val="center"/>
              <w:rPr>
                <w:rFonts w:ascii="仿宋" w:eastAsia="仿宋" w:hAnsi="仿宋" w:cs="仿宋"/>
                <w:b/>
                <w:kern w:val="0"/>
                <w:sz w:val="24"/>
              </w:rPr>
            </w:pPr>
            <w:r>
              <w:rPr>
                <w:rFonts w:ascii="仿宋" w:eastAsia="仿宋" w:hAnsi="仿宋" w:cs="仿宋" w:hint="eastAsia"/>
                <w:b/>
                <w:kern w:val="0"/>
                <w:sz w:val="24"/>
              </w:rPr>
              <w:t>序号</w:t>
            </w:r>
          </w:p>
        </w:tc>
        <w:tc>
          <w:tcPr>
            <w:tcW w:w="1222" w:type="dxa"/>
            <w:vAlign w:val="center"/>
          </w:tcPr>
          <w:p w14:paraId="606A224A" w14:textId="77777777" w:rsidR="00711C62" w:rsidRDefault="00000000">
            <w:pPr>
              <w:spacing w:line="360" w:lineRule="auto"/>
              <w:jc w:val="center"/>
              <w:rPr>
                <w:rFonts w:ascii="仿宋" w:eastAsia="仿宋" w:hAnsi="仿宋" w:cs="仿宋"/>
                <w:b/>
                <w:kern w:val="0"/>
                <w:sz w:val="24"/>
              </w:rPr>
            </w:pPr>
            <w:r>
              <w:rPr>
                <w:rFonts w:ascii="仿宋" w:eastAsia="仿宋" w:hAnsi="仿宋" w:cs="仿宋" w:hint="eastAsia"/>
                <w:b/>
                <w:kern w:val="0"/>
                <w:sz w:val="24"/>
              </w:rPr>
              <w:t>时间</w:t>
            </w:r>
          </w:p>
        </w:tc>
        <w:tc>
          <w:tcPr>
            <w:tcW w:w="1207" w:type="dxa"/>
            <w:vAlign w:val="center"/>
          </w:tcPr>
          <w:p w14:paraId="62B256DC" w14:textId="77777777" w:rsidR="00711C62" w:rsidRDefault="00000000">
            <w:pPr>
              <w:spacing w:line="360" w:lineRule="auto"/>
              <w:jc w:val="center"/>
              <w:rPr>
                <w:rFonts w:ascii="仿宋" w:eastAsia="仿宋" w:hAnsi="仿宋" w:cs="仿宋"/>
                <w:b/>
                <w:kern w:val="0"/>
                <w:sz w:val="24"/>
              </w:rPr>
            </w:pPr>
            <w:r>
              <w:rPr>
                <w:rFonts w:ascii="仿宋" w:eastAsia="仿宋" w:hAnsi="仿宋" w:cs="仿宋" w:hint="eastAsia"/>
                <w:b/>
                <w:kern w:val="0"/>
                <w:sz w:val="24"/>
              </w:rPr>
              <w:t>调研人员</w:t>
            </w:r>
          </w:p>
        </w:tc>
        <w:tc>
          <w:tcPr>
            <w:tcW w:w="1475" w:type="dxa"/>
            <w:vAlign w:val="center"/>
          </w:tcPr>
          <w:p w14:paraId="6EBB17ED" w14:textId="77777777" w:rsidR="00711C62" w:rsidRDefault="00000000">
            <w:pPr>
              <w:spacing w:line="360" w:lineRule="auto"/>
              <w:jc w:val="center"/>
              <w:rPr>
                <w:rFonts w:ascii="仿宋" w:eastAsia="仿宋" w:hAnsi="仿宋" w:cs="仿宋"/>
                <w:b/>
                <w:kern w:val="0"/>
                <w:sz w:val="24"/>
              </w:rPr>
            </w:pPr>
            <w:r>
              <w:rPr>
                <w:rFonts w:ascii="仿宋" w:eastAsia="仿宋" w:hAnsi="仿宋" w:cs="仿宋" w:hint="eastAsia"/>
                <w:b/>
                <w:kern w:val="0"/>
                <w:sz w:val="24"/>
              </w:rPr>
              <w:t>调研单位</w:t>
            </w:r>
          </w:p>
        </w:tc>
        <w:tc>
          <w:tcPr>
            <w:tcW w:w="1600" w:type="dxa"/>
            <w:vAlign w:val="center"/>
          </w:tcPr>
          <w:p w14:paraId="1A91CF6B" w14:textId="77777777" w:rsidR="00711C62" w:rsidRDefault="00000000">
            <w:pPr>
              <w:spacing w:line="360" w:lineRule="auto"/>
              <w:jc w:val="center"/>
              <w:rPr>
                <w:rFonts w:ascii="仿宋" w:eastAsia="仿宋" w:hAnsi="仿宋" w:cs="仿宋"/>
                <w:b/>
                <w:kern w:val="0"/>
                <w:sz w:val="24"/>
              </w:rPr>
            </w:pPr>
            <w:r>
              <w:rPr>
                <w:rFonts w:ascii="仿宋" w:eastAsia="仿宋" w:hAnsi="仿宋" w:cs="仿宋" w:hint="eastAsia"/>
                <w:b/>
                <w:kern w:val="0"/>
                <w:sz w:val="24"/>
              </w:rPr>
              <w:t>调研主题</w:t>
            </w:r>
          </w:p>
        </w:tc>
        <w:tc>
          <w:tcPr>
            <w:tcW w:w="2765" w:type="dxa"/>
            <w:vAlign w:val="center"/>
          </w:tcPr>
          <w:p w14:paraId="66CEFA22" w14:textId="77777777" w:rsidR="00711C62" w:rsidRDefault="00000000">
            <w:pPr>
              <w:spacing w:line="360" w:lineRule="auto"/>
              <w:jc w:val="center"/>
              <w:rPr>
                <w:rFonts w:ascii="仿宋" w:eastAsia="仿宋" w:hAnsi="仿宋" w:cs="仿宋"/>
                <w:b/>
                <w:kern w:val="0"/>
                <w:sz w:val="24"/>
              </w:rPr>
            </w:pPr>
            <w:r>
              <w:rPr>
                <w:rFonts w:ascii="仿宋" w:eastAsia="仿宋" w:hAnsi="仿宋" w:cs="仿宋" w:hint="eastAsia"/>
                <w:b/>
                <w:kern w:val="0"/>
                <w:sz w:val="24"/>
              </w:rPr>
              <w:t>调研成果</w:t>
            </w:r>
          </w:p>
        </w:tc>
        <w:tc>
          <w:tcPr>
            <w:tcW w:w="1839" w:type="dxa"/>
            <w:vAlign w:val="center"/>
          </w:tcPr>
          <w:p w14:paraId="2D5EE862" w14:textId="77777777" w:rsidR="00711C62" w:rsidRDefault="00000000">
            <w:pPr>
              <w:spacing w:line="360" w:lineRule="auto"/>
              <w:jc w:val="center"/>
              <w:rPr>
                <w:rFonts w:ascii="仿宋" w:eastAsia="仿宋" w:hAnsi="仿宋" w:cs="仿宋"/>
                <w:b/>
                <w:kern w:val="0"/>
                <w:sz w:val="24"/>
              </w:rPr>
            </w:pPr>
            <w:r>
              <w:rPr>
                <w:rFonts w:ascii="仿宋" w:eastAsia="仿宋" w:hAnsi="仿宋" w:cs="仿宋" w:hint="eastAsia"/>
                <w:b/>
                <w:kern w:val="0"/>
                <w:sz w:val="24"/>
              </w:rPr>
              <w:t>支撑材料</w:t>
            </w:r>
          </w:p>
          <w:p w14:paraId="2D05BF02" w14:textId="77777777" w:rsidR="00711C62" w:rsidRDefault="00000000">
            <w:pPr>
              <w:spacing w:line="360" w:lineRule="auto"/>
              <w:jc w:val="center"/>
              <w:rPr>
                <w:rFonts w:ascii="仿宋" w:eastAsia="仿宋" w:hAnsi="仿宋" w:cs="仿宋"/>
                <w:b/>
                <w:kern w:val="0"/>
                <w:sz w:val="24"/>
              </w:rPr>
            </w:pPr>
            <w:r>
              <w:rPr>
                <w:rFonts w:ascii="仿宋" w:eastAsia="仿宋" w:hAnsi="仿宋" w:cs="仿宋" w:hint="eastAsia"/>
                <w:b/>
                <w:kern w:val="0"/>
                <w:sz w:val="24"/>
              </w:rPr>
              <w:t>（可附照片）</w:t>
            </w:r>
          </w:p>
        </w:tc>
      </w:tr>
      <w:tr w:rsidR="00711C62" w14:paraId="5094EDAC" w14:textId="77777777">
        <w:tc>
          <w:tcPr>
            <w:tcW w:w="843" w:type="dxa"/>
          </w:tcPr>
          <w:p w14:paraId="7BABAA7D" w14:textId="77777777" w:rsidR="00711C62" w:rsidRDefault="00000000">
            <w:pPr>
              <w:jc w:val="center"/>
              <w:rPr>
                <w:rFonts w:ascii="仿宋" w:eastAsia="仿宋" w:hAnsi="仿宋" w:cs="仿宋"/>
                <w:b/>
                <w:kern w:val="0"/>
                <w:sz w:val="22"/>
                <w:szCs w:val="22"/>
              </w:rPr>
            </w:pPr>
            <w:r>
              <w:rPr>
                <w:rFonts w:ascii="仿宋" w:eastAsia="仿宋" w:hAnsi="仿宋" w:cs="仿宋" w:hint="eastAsia"/>
                <w:b/>
                <w:kern w:val="0"/>
                <w:sz w:val="22"/>
                <w:szCs w:val="22"/>
              </w:rPr>
              <w:t>1</w:t>
            </w:r>
          </w:p>
        </w:tc>
        <w:tc>
          <w:tcPr>
            <w:tcW w:w="1222" w:type="dxa"/>
          </w:tcPr>
          <w:p w14:paraId="03B888EE" w14:textId="77777777" w:rsidR="00711C62" w:rsidRDefault="00000000">
            <w:pPr>
              <w:jc w:val="center"/>
              <w:rPr>
                <w:rFonts w:ascii="仿宋" w:eastAsia="仿宋" w:hAnsi="仿宋" w:cs="仿宋"/>
                <w:b/>
                <w:kern w:val="0"/>
                <w:sz w:val="22"/>
                <w:szCs w:val="22"/>
              </w:rPr>
            </w:pPr>
            <w:r>
              <w:rPr>
                <w:rFonts w:ascii="仿宋" w:eastAsia="仿宋" w:hAnsi="仿宋" w:cs="仿宋" w:hint="eastAsia"/>
                <w:b/>
                <w:kern w:val="0"/>
                <w:sz w:val="22"/>
                <w:szCs w:val="22"/>
              </w:rPr>
              <w:t>2026年2月3-5号</w:t>
            </w:r>
          </w:p>
        </w:tc>
        <w:tc>
          <w:tcPr>
            <w:tcW w:w="1207" w:type="dxa"/>
          </w:tcPr>
          <w:p w14:paraId="5969CE2D" w14:textId="77777777" w:rsidR="00711C62" w:rsidRDefault="00000000">
            <w:pPr>
              <w:jc w:val="center"/>
              <w:rPr>
                <w:rFonts w:ascii="仿宋" w:eastAsia="仿宋" w:hAnsi="仿宋" w:cs="仿宋"/>
                <w:b/>
                <w:kern w:val="0"/>
                <w:sz w:val="22"/>
                <w:szCs w:val="22"/>
              </w:rPr>
            </w:pPr>
            <w:r>
              <w:rPr>
                <w:rFonts w:ascii="仿宋" w:eastAsia="仿宋" w:hAnsi="仿宋" w:cs="仿宋" w:hint="eastAsia"/>
                <w:b/>
                <w:kern w:val="0"/>
                <w:sz w:val="22"/>
                <w:szCs w:val="22"/>
              </w:rPr>
              <w:t>吴景泰</w:t>
            </w:r>
          </w:p>
        </w:tc>
        <w:tc>
          <w:tcPr>
            <w:tcW w:w="1475" w:type="dxa"/>
          </w:tcPr>
          <w:p w14:paraId="4B178BA2" w14:textId="77777777" w:rsidR="00711C62" w:rsidRDefault="00000000">
            <w:pPr>
              <w:jc w:val="center"/>
              <w:rPr>
                <w:rFonts w:ascii="仿宋" w:eastAsia="仿宋" w:hAnsi="仿宋" w:cs="仿宋"/>
                <w:b/>
                <w:kern w:val="0"/>
                <w:sz w:val="22"/>
                <w:szCs w:val="22"/>
              </w:rPr>
            </w:pPr>
            <w:r>
              <w:rPr>
                <w:rFonts w:ascii="仿宋" w:eastAsia="仿宋" w:hAnsi="仿宋" w:cs="仿宋" w:hint="eastAsia"/>
                <w:b/>
                <w:kern w:val="0"/>
                <w:sz w:val="22"/>
                <w:szCs w:val="22"/>
              </w:rPr>
              <w:t>江西迅龙航空科技有限公司</w:t>
            </w:r>
          </w:p>
        </w:tc>
        <w:tc>
          <w:tcPr>
            <w:tcW w:w="1600" w:type="dxa"/>
          </w:tcPr>
          <w:p w14:paraId="6154A648" w14:textId="77777777" w:rsidR="00711C62" w:rsidRDefault="00000000">
            <w:pPr>
              <w:jc w:val="left"/>
              <w:rPr>
                <w:rFonts w:ascii="仿宋" w:eastAsia="仿宋" w:hAnsi="仿宋" w:cs="仿宋"/>
                <w:b/>
                <w:kern w:val="0"/>
                <w:sz w:val="22"/>
                <w:szCs w:val="22"/>
              </w:rPr>
            </w:pPr>
            <w:r>
              <w:rPr>
                <w:rFonts w:ascii="仿宋" w:eastAsia="仿宋" w:hAnsi="仿宋" w:cs="仿宋" w:hint="eastAsia"/>
                <w:b/>
                <w:kern w:val="0"/>
                <w:sz w:val="22"/>
                <w:szCs w:val="22"/>
              </w:rPr>
              <w:t>企业实地考察走访、开拓产教融合新领域。</w:t>
            </w:r>
          </w:p>
          <w:p w14:paraId="077C0F99" w14:textId="77777777" w:rsidR="00711C62" w:rsidRDefault="00711C62">
            <w:pPr>
              <w:jc w:val="left"/>
              <w:rPr>
                <w:rFonts w:ascii="仿宋" w:eastAsia="仿宋" w:hAnsi="仿宋" w:cs="仿宋"/>
                <w:b/>
                <w:kern w:val="0"/>
                <w:sz w:val="22"/>
                <w:szCs w:val="22"/>
              </w:rPr>
            </w:pPr>
          </w:p>
        </w:tc>
        <w:tc>
          <w:tcPr>
            <w:tcW w:w="2765" w:type="dxa"/>
          </w:tcPr>
          <w:p w14:paraId="3D6F023A" w14:textId="77777777" w:rsidR="00711C62" w:rsidRDefault="00000000">
            <w:pPr>
              <w:jc w:val="left"/>
              <w:rPr>
                <w:rFonts w:ascii="仿宋" w:eastAsia="仿宋" w:hAnsi="仿宋" w:cs="仿宋"/>
                <w:b/>
                <w:kern w:val="0"/>
                <w:sz w:val="24"/>
              </w:rPr>
            </w:pPr>
            <w:r>
              <w:rPr>
                <w:rFonts w:ascii="仿宋" w:eastAsia="仿宋" w:hAnsi="仿宋" w:cs="仿宋" w:hint="eastAsia"/>
                <w:b/>
                <w:kern w:val="0"/>
                <w:sz w:val="22"/>
                <w:szCs w:val="22"/>
              </w:rPr>
              <w:lastRenderedPageBreak/>
              <w:t>实地考察走访：双方围绕如何将前沿的产业实践、技术标准与人才培养体系进行有效对接进行交流。探讨了</w:t>
            </w:r>
            <w:r>
              <w:rPr>
                <w:rFonts w:ascii="仿宋" w:eastAsia="仿宋" w:hAnsi="仿宋" w:cs="仿宋" w:hint="eastAsia"/>
                <w:b/>
                <w:kern w:val="0"/>
                <w:sz w:val="22"/>
                <w:szCs w:val="22"/>
              </w:rPr>
              <w:lastRenderedPageBreak/>
              <w:t>校企协同育人的可行路径。</w:t>
            </w:r>
          </w:p>
        </w:tc>
        <w:tc>
          <w:tcPr>
            <w:tcW w:w="1839" w:type="dxa"/>
          </w:tcPr>
          <w:p w14:paraId="66B533E6" w14:textId="77777777" w:rsidR="00711C62" w:rsidRDefault="00000000">
            <w:pPr>
              <w:spacing w:line="360" w:lineRule="auto"/>
              <w:jc w:val="center"/>
            </w:pPr>
            <w:r>
              <w:rPr>
                <w:rFonts w:ascii="宋体" w:hAnsi="宋体" w:cs="宋体"/>
                <w:noProof/>
                <w:sz w:val="24"/>
              </w:rPr>
              <w:lastRenderedPageBreak/>
              <w:drawing>
                <wp:anchor distT="0" distB="0" distL="114300" distR="114300" simplePos="0" relativeHeight="251658752" behindDoc="0" locked="0" layoutInCell="1" allowOverlap="1" wp14:anchorId="2AEEC9AB" wp14:editId="25BB61E4">
                  <wp:simplePos x="0" y="0"/>
                  <wp:positionH relativeFrom="column">
                    <wp:posOffset>9525</wp:posOffset>
                  </wp:positionH>
                  <wp:positionV relativeFrom="paragraph">
                    <wp:posOffset>778510</wp:posOffset>
                  </wp:positionV>
                  <wp:extent cx="1028700" cy="631825"/>
                  <wp:effectExtent l="0" t="0" r="0" b="15875"/>
                  <wp:wrapNone/>
                  <wp:docPr id="5"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IMG_256"/>
                          <pic:cNvPicPr>
                            <a:picLocks noChangeAspect="1"/>
                          </pic:cNvPicPr>
                        </pic:nvPicPr>
                        <pic:blipFill>
                          <a:blip r:embed="rId16"/>
                          <a:stretch>
                            <a:fillRect/>
                          </a:stretch>
                        </pic:blipFill>
                        <pic:spPr>
                          <a:xfrm>
                            <a:off x="0" y="0"/>
                            <a:ext cx="1028700" cy="631825"/>
                          </a:xfrm>
                          <a:prstGeom prst="rect">
                            <a:avLst/>
                          </a:prstGeom>
                          <a:noFill/>
                          <a:ln w="9525">
                            <a:noFill/>
                          </a:ln>
                        </pic:spPr>
                      </pic:pic>
                    </a:graphicData>
                  </a:graphic>
                </wp:anchor>
              </w:drawing>
            </w:r>
            <w:r>
              <w:rPr>
                <w:rFonts w:ascii="宋体" w:hAnsi="宋体" w:cs="宋体"/>
                <w:noProof/>
                <w:sz w:val="24"/>
              </w:rPr>
              <w:drawing>
                <wp:inline distT="0" distB="0" distL="114300" distR="114300" wp14:anchorId="20A72738" wp14:editId="47985C72">
                  <wp:extent cx="1028700" cy="659765"/>
                  <wp:effectExtent l="0" t="0" r="0" b="6985"/>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17"/>
                          <a:stretch>
                            <a:fillRect/>
                          </a:stretch>
                        </pic:blipFill>
                        <pic:spPr>
                          <a:xfrm>
                            <a:off x="0" y="0"/>
                            <a:ext cx="1028700" cy="659765"/>
                          </a:xfrm>
                          <a:prstGeom prst="rect">
                            <a:avLst/>
                          </a:prstGeom>
                          <a:noFill/>
                          <a:ln w="9525">
                            <a:noFill/>
                          </a:ln>
                        </pic:spPr>
                      </pic:pic>
                    </a:graphicData>
                  </a:graphic>
                </wp:inline>
              </w:drawing>
            </w:r>
          </w:p>
        </w:tc>
      </w:tr>
      <w:tr w:rsidR="00711C62" w14:paraId="3F4D6D09" w14:textId="77777777">
        <w:tc>
          <w:tcPr>
            <w:tcW w:w="843" w:type="dxa"/>
          </w:tcPr>
          <w:p w14:paraId="7C6EC7A2" w14:textId="77777777" w:rsidR="00711C62" w:rsidRDefault="00000000">
            <w:pPr>
              <w:jc w:val="center"/>
              <w:rPr>
                <w:rFonts w:ascii="仿宋" w:eastAsia="仿宋" w:hAnsi="仿宋" w:cs="仿宋"/>
                <w:b/>
                <w:kern w:val="0"/>
                <w:sz w:val="22"/>
                <w:szCs w:val="22"/>
              </w:rPr>
            </w:pPr>
            <w:r>
              <w:rPr>
                <w:rFonts w:ascii="仿宋" w:eastAsia="仿宋" w:hAnsi="仿宋" w:cs="仿宋" w:hint="eastAsia"/>
                <w:b/>
                <w:kern w:val="0"/>
                <w:sz w:val="22"/>
                <w:szCs w:val="22"/>
              </w:rPr>
              <w:t>2</w:t>
            </w:r>
          </w:p>
        </w:tc>
        <w:tc>
          <w:tcPr>
            <w:tcW w:w="1222" w:type="dxa"/>
          </w:tcPr>
          <w:p w14:paraId="40ED7E20" w14:textId="77777777" w:rsidR="00711C62" w:rsidRDefault="00000000">
            <w:pPr>
              <w:jc w:val="center"/>
              <w:rPr>
                <w:rFonts w:ascii="仿宋" w:eastAsia="仿宋" w:hAnsi="仿宋" w:cs="仿宋"/>
                <w:b/>
                <w:kern w:val="0"/>
                <w:sz w:val="22"/>
                <w:szCs w:val="22"/>
              </w:rPr>
            </w:pPr>
            <w:r>
              <w:rPr>
                <w:rFonts w:ascii="仿宋" w:eastAsia="仿宋" w:hAnsi="仿宋" w:cs="仿宋" w:hint="eastAsia"/>
                <w:b/>
                <w:kern w:val="0"/>
                <w:sz w:val="22"/>
                <w:szCs w:val="22"/>
              </w:rPr>
              <w:t>2026年1月29号</w:t>
            </w:r>
          </w:p>
        </w:tc>
        <w:tc>
          <w:tcPr>
            <w:tcW w:w="1207" w:type="dxa"/>
          </w:tcPr>
          <w:p w14:paraId="720C573B" w14:textId="77777777" w:rsidR="00711C62" w:rsidRDefault="00000000">
            <w:pPr>
              <w:jc w:val="center"/>
              <w:rPr>
                <w:rFonts w:ascii="仿宋" w:eastAsia="仿宋" w:hAnsi="仿宋" w:cs="仿宋"/>
                <w:b/>
                <w:kern w:val="0"/>
                <w:sz w:val="22"/>
                <w:szCs w:val="22"/>
              </w:rPr>
            </w:pPr>
            <w:r>
              <w:rPr>
                <w:rFonts w:ascii="仿宋" w:eastAsia="仿宋" w:hAnsi="仿宋" w:cs="仿宋" w:hint="eastAsia"/>
                <w:b/>
                <w:kern w:val="0"/>
                <w:sz w:val="22"/>
                <w:szCs w:val="22"/>
              </w:rPr>
              <w:t>吴景泰、刘晓伟等</w:t>
            </w:r>
          </w:p>
        </w:tc>
        <w:tc>
          <w:tcPr>
            <w:tcW w:w="1475" w:type="dxa"/>
          </w:tcPr>
          <w:p w14:paraId="5E7B68D2" w14:textId="77777777" w:rsidR="00711C62" w:rsidRDefault="00000000">
            <w:pPr>
              <w:jc w:val="center"/>
              <w:rPr>
                <w:rFonts w:ascii="仿宋" w:eastAsia="仿宋" w:hAnsi="仿宋" w:cs="仿宋"/>
                <w:b/>
                <w:kern w:val="0"/>
                <w:sz w:val="22"/>
                <w:szCs w:val="22"/>
              </w:rPr>
            </w:pPr>
            <w:r>
              <w:rPr>
                <w:rFonts w:ascii="仿宋" w:eastAsia="仿宋" w:hAnsi="仿宋" w:cs="仿宋" w:hint="eastAsia"/>
                <w:b/>
                <w:kern w:val="0"/>
                <w:szCs w:val="21"/>
              </w:rPr>
              <w:t>辽宁京东世纪贸易有限公司</w:t>
            </w:r>
          </w:p>
        </w:tc>
        <w:tc>
          <w:tcPr>
            <w:tcW w:w="1600" w:type="dxa"/>
          </w:tcPr>
          <w:p w14:paraId="3F7119D4" w14:textId="77777777" w:rsidR="00711C62" w:rsidRDefault="00000000">
            <w:pPr>
              <w:jc w:val="left"/>
              <w:rPr>
                <w:rFonts w:ascii="仿宋" w:eastAsia="仿宋" w:hAnsi="仿宋" w:cs="仿宋"/>
                <w:b/>
                <w:kern w:val="0"/>
                <w:sz w:val="22"/>
                <w:szCs w:val="22"/>
              </w:rPr>
            </w:pPr>
            <w:r>
              <w:rPr>
                <w:rFonts w:ascii="仿宋" w:eastAsia="仿宋" w:hAnsi="仿宋" w:cs="仿宋" w:hint="eastAsia"/>
                <w:b/>
                <w:kern w:val="0"/>
                <w:sz w:val="22"/>
                <w:szCs w:val="22"/>
              </w:rPr>
              <w:t>将企业的技术资源、实战平台与学院的教育资源、创新力量更紧密地结合起来，共同培育符合产业数字化发展需求的高端技术技能人才。</w:t>
            </w:r>
          </w:p>
        </w:tc>
        <w:tc>
          <w:tcPr>
            <w:tcW w:w="2765" w:type="dxa"/>
          </w:tcPr>
          <w:p w14:paraId="70F8B62D" w14:textId="77777777" w:rsidR="00711C62" w:rsidRDefault="00000000">
            <w:pPr>
              <w:jc w:val="left"/>
              <w:rPr>
                <w:rFonts w:ascii="仿宋" w:eastAsia="仿宋" w:hAnsi="仿宋" w:cs="仿宋"/>
                <w:b/>
                <w:kern w:val="0"/>
                <w:sz w:val="22"/>
                <w:szCs w:val="22"/>
              </w:rPr>
            </w:pPr>
            <w:r>
              <w:rPr>
                <w:rFonts w:ascii="仿宋" w:eastAsia="仿宋" w:hAnsi="仿宋" w:cs="仿宋" w:hint="eastAsia"/>
                <w:b/>
                <w:kern w:val="0"/>
                <w:sz w:val="22"/>
                <w:szCs w:val="22"/>
              </w:rPr>
              <w:t>依托双方在产业与教育领域的优势，聚焦电商与物流行业数智化转型升级对人才提出的新要求。实践育人现场工程师联合培养以及校园服务新生态共建等多个维度采取切实举措，推动社会服务等。</w:t>
            </w:r>
          </w:p>
        </w:tc>
        <w:tc>
          <w:tcPr>
            <w:tcW w:w="1839" w:type="dxa"/>
          </w:tcPr>
          <w:p w14:paraId="1071C639" w14:textId="77777777" w:rsidR="00711C62" w:rsidRDefault="00711C62">
            <w:pPr>
              <w:jc w:val="center"/>
              <w:rPr>
                <w:rFonts w:ascii="宋体" w:hAnsi="宋体" w:cs="宋体"/>
                <w:sz w:val="24"/>
              </w:rPr>
            </w:pPr>
          </w:p>
          <w:p w14:paraId="77CE4581" w14:textId="77777777" w:rsidR="00711C62" w:rsidRDefault="00000000">
            <w:pPr>
              <w:pStyle w:val="a0"/>
              <w:ind w:firstLine="240"/>
            </w:pPr>
            <w:r>
              <w:rPr>
                <w:rFonts w:ascii="宋体" w:eastAsia="宋体" w:hAnsi="宋体" w:cs="宋体"/>
                <w:noProof/>
                <w:sz w:val="24"/>
              </w:rPr>
              <w:drawing>
                <wp:anchor distT="0" distB="0" distL="114300" distR="114300" simplePos="0" relativeHeight="251661824" behindDoc="0" locked="0" layoutInCell="1" allowOverlap="1" wp14:anchorId="3B1F57BB" wp14:editId="3C75845D">
                  <wp:simplePos x="0" y="0"/>
                  <wp:positionH relativeFrom="column">
                    <wp:posOffset>-31115</wp:posOffset>
                  </wp:positionH>
                  <wp:positionV relativeFrom="paragraph">
                    <wp:posOffset>623570</wp:posOffset>
                  </wp:positionV>
                  <wp:extent cx="1028700" cy="701040"/>
                  <wp:effectExtent l="0" t="0" r="0" b="3810"/>
                  <wp:wrapNone/>
                  <wp:docPr id="7"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descr="IMG_256"/>
                          <pic:cNvPicPr>
                            <a:picLocks noChangeAspect="1"/>
                          </pic:cNvPicPr>
                        </pic:nvPicPr>
                        <pic:blipFill>
                          <a:blip r:embed="rId18"/>
                          <a:stretch>
                            <a:fillRect/>
                          </a:stretch>
                        </pic:blipFill>
                        <pic:spPr>
                          <a:xfrm>
                            <a:off x="0" y="0"/>
                            <a:ext cx="1028700" cy="701040"/>
                          </a:xfrm>
                          <a:prstGeom prst="rect">
                            <a:avLst/>
                          </a:prstGeom>
                          <a:noFill/>
                          <a:ln w="9525">
                            <a:noFill/>
                          </a:ln>
                        </pic:spPr>
                      </pic:pic>
                    </a:graphicData>
                  </a:graphic>
                </wp:anchor>
              </w:drawing>
            </w:r>
          </w:p>
        </w:tc>
      </w:tr>
      <w:tr w:rsidR="00711C62" w14:paraId="4AD78B30" w14:textId="77777777">
        <w:tc>
          <w:tcPr>
            <w:tcW w:w="843" w:type="dxa"/>
          </w:tcPr>
          <w:p w14:paraId="185CBFD3" w14:textId="77777777" w:rsidR="00711C62" w:rsidRDefault="00000000">
            <w:pPr>
              <w:jc w:val="center"/>
              <w:rPr>
                <w:rFonts w:ascii="仿宋" w:eastAsia="仿宋" w:hAnsi="仿宋" w:cs="仿宋"/>
                <w:b/>
                <w:kern w:val="0"/>
                <w:sz w:val="22"/>
                <w:szCs w:val="22"/>
              </w:rPr>
            </w:pPr>
            <w:r>
              <w:rPr>
                <w:rFonts w:ascii="仿宋" w:eastAsia="仿宋" w:hAnsi="仿宋" w:cs="仿宋" w:hint="eastAsia"/>
                <w:b/>
                <w:kern w:val="0"/>
                <w:sz w:val="22"/>
                <w:szCs w:val="22"/>
              </w:rPr>
              <w:t>3</w:t>
            </w:r>
          </w:p>
        </w:tc>
        <w:tc>
          <w:tcPr>
            <w:tcW w:w="1222" w:type="dxa"/>
          </w:tcPr>
          <w:p w14:paraId="3937B50E" w14:textId="77777777" w:rsidR="00711C62" w:rsidRDefault="00000000">
            <w:pPr>
              <w:jc w:val="center"/>
              <w:rPr>
                <w:rFonts w:ascii="仿宋" w:eastAsia="仿宋" w:hAnsi="仿宋" w:cs="仿宋"/>
                <w:b/>
                <w:kern w:val="0"/>
                <w:sz w:val="22"/>
                <w:szCs w:val="22"/>
              </w:rPr>
            </w:pPr>
            <w:r>
              <w:rPr>
                <w:rFonts w:ascii="仿宋" w:eastAsia="仿宋" w:hAnsi="仿宋" w:cs="仿宋" w:hint="eastAsia"/>
                <w:b/>
                <w:kern w:val="0"/>
                <w:sz w:val="22"/>
                <w:szCs w:val="22"/>
              </w:rPr>
              <w:t>2025年12月10号</w:t>
            </w:r>
          </w:p>
        </w:tc>
        <w:tc>
          <w:tcPr>
            <w:tcW w:w="1207" w:type="dxa"/>
          </w:tcPr>
          <w:p w14:paraId="2929A4CB" w14:textId="77777777" w:rsidR="00711C62" w:rsidRDefault="00000000">
            <w:pPr>
              <w:jc w:val="center"/>
              <w:rPr>
                <w:rFonts w:ascii="仿宋" w:eastAsia="仿宋" w:hAnsi="仿宋" w:cs="仿宋"/>
                <w:b/>
                <w:kern w:val="0"/>
                <w:sz w:val="22"/>
                <w:szCs w:val="22"/>
              </w:rPr>
            </w:pPr>
            <w:r>
              <w:rPr>
                <w:rFonts w:ascii="仿宋" w:eastAsia="仿宋" w:hAnsi="仿宋" w:cs="仿宋" w:hint="eastAsia"/>
                <w:b/>
                <w:kern w:val="0"/>
                <w:sz w:val="22"/>
                <w:szCs w:val="22"/>
              </w:rPr>
              <w:t>吴景泰</w:t>
            </w:r>
          </w:p>
        </w:tc>
        <w:tc>
          <w:tcPr>
            <w:tcW w:w="1475" w:type="dxa"/>
          </w:tcPr>
          <w:p w14:paraId="3DA3B6E5" w14:textId="77777777" w:rsidR="00711C62" w:rsidRDefault="00000000">
            <w:pPr>
              <w:jc w:val="center"/>
              <w:rPr>
                <w:rFonts w:ascii="仿宋" w:eastAsia="仿宋" w:hAnsi="仿宋" w:cs="仿宋"/>
                <w:b/>
                <w:kern w:val="0"/>
                <w:sz w:val="22"/>
                <w:szCs w:val="22"/>
              </w:rPr>
            </w:pPr>
            <w:r>
              <w:rPr>
                <w:rFonts w:ascii="仿宋" w:eastAsia="仿宋" w:hAnsi="仿宋" w:cs="仿宋" w:hint="eastAsia"/>
                <w:b/>
                <w:kern w:val="0"/>
                <w:sz w:val="22"/>
                <w:szCs w:val="22"/>
              </w:rPr>
              <w:t>京东集团</w:t>
            </w:r>
          </w:p>
        </w:tc>
        <w:tc>
          <w:tcPr>
            <w:tcW w:w="1600" w:type="dxa"/>
          </w:tcPr>
          <w:p w14:paraId="4CAC3D0B" w14:textId="77777777" w:rsidR="00711C62" w:rsidRDefault="00000000">
            <w:pPr>
              <w:jc w:val="left"/>
              <w:rPr>
                <w:rFonts w:ascii="仿宋" w:eastAsia="仿宋" w:hAnsi="仿宋" w:cs="仿宋"/>
                <w:b/>
                <w:kern w:val="0"/>
                <w:sz w:val="22"/>
                <w:szCs w:val="22"/>
              </w:rPr>
            </w:pPr>
            <w:r>
              <w:rPr>
                <w:rFonts w:ascii="仿宋" w:eastAsia="仿宋" w:hAnsi="仿宋" w:cs="仿宋" w:hint="eastAsia"/>
                <w:b/>
                <w:kern w:val="0"/>
                <w:sz w:val="22"/>
                <w:szCs w:val="22"/>
              </w:rPr>
              <w:t>创新应用与数字化人才培养，旨在推动教育链、人才链与产业链、创新链深度融合。</w:t>
            </w:r>
          </w:p>
        </w:tc>
        <w:tc>
          <w:tcPr>
            <w:tcW w:w="2765" w:type="dxa"/>
          </w:tcPr>
          <w:p w14:paraId="06AE9E46" w14:textId="77777777" w:rsidR="00711C62" w:rsidRDefault="00000000">
            <w:pPr>
              <w:jc w:val="left"/>
              <w:rPr>
                <w:rFonts w:ascii="仿宋" w:eastAsia="仿宋" w:hAnsi="仿宋" w:cs="仿宋"/>
                <w:b/>
                <w:kern w:val="0"/>
                <w:sz w:val="22"/>
                <w:szCs w:val="22"/>
              </w:rPr>
            </w:pPr>
            <w:r>
              <w:rPr>
                <w:rFonts w:ascii="仿宋" w:eastAsia="仿宋" w:hAnsi="仿宋" w:cs="仿宋" w:hint="eastAsia"/>
                <w:b/>
                <w:kern w:val="0"/>
                <w:sz w:val="22"/>
                <w:szCs w:val="22"/>
              </w:rPr>
              <w:t>学院将继续依托“京东智慧物流产业学院”重要平台，携手行业领军企业，持续深化教育教学改革，优化协同育人机制，致力于培养更多适应智能供应链发展需要的高素质数字商务人才，为区域经济社会高质量发展贡献更大力量。</w:t>
            </w:r>
          </w:p>
        </w:tc>
        <w:tc>
          <w:tcPr>
            <w:tcW w:w="1839" w:type="dxa"/>
          </w:tcPr>
          <w:p w14:paraId="73FA9DA5" w14:textId="77777777" w:rsidR="00711C62" w:rsidRDefault="00000000">
            <w:pPr>
              <w:jc w:val="center"/>
              <w:rPr>
                <w:rFonts w:ascii="宋体" w:hAnsi="宋体" w:cs="宋体"/>
                <w:sz w:val="24"/>
              </w:rPr>
            </w:pPr>
            <w:r>
              <w:rPr>
                <w:rFonts w:ascii="宋体" w:hAnsi="宋体" w:cs="宋体"/>
                <w:noProof/>
                <w:sz w:val="24"/>
              </w:rPr>
              <w:drawing>
                <wp:anchor distT="0" distB="0" distL="114300" distR="114300" simplePos="0" relativeHeight="251660800" behindDoc="0" locked="0" layoutInCell="1" allowOverlap="1" wp14:anchorId="0363BF0D" wp14:editId="24A51257">
                  <wp:simplePos x="0" y="0"/>
                  <wp:positionH relativeFrom="column">
                    <wp:posOffset>8890</wp:posOffset>
                  </wp:positionH>
                  <wp:positionV relativeFrom="paragraph">
                    <wp:posOffset>198120</wp:posOffset>
                  </wp:positionV>
                  <wp:extent cx="1028700" cy="631190"/>
                  <wp:effectExtent l="0" t="0" r="0" b="16510"/>
                  <wp:wrapNone/>
                  <wp:docPr id="8"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descr="IMG_256"/>
                          <pic:cNvPicPr>
                            <a:picLocks noChangeAspect="1"/>
                          </pic:cNvPicPr>
                        </pic:nvPicPr>
                        <pic:blipFill>
                          <a:blip r:embed="rId19"/>
                          <a:stretch>
                            <a:fillRect/>
                          </a:stretch>
                        </pic:blipFill>
                        <pic:spPr>
                          <a:xfrm>
                            <a:off x="0" y="0"/>
                            <a:ext cx="1028700" cy="631190"/>
                          </a:xfrm>
                          <a:prstGeom prst="rect">
                            <a:avLst/>
                          </a:prstGeom>
                          <a:noFill/>
                          <a:ln w="9525">
                            <a:noFill/>
                          </a:ln>
                        </pic:spPr>
                      </pic:pic>
                    </a:graphicData>
                  </a:graphic>
                </wp:anchor>
              </w:drawing>
            </w:r>
          </w:p>
          <w:p w14:paraId="707EC850" w14:textId="77777777" w:rsidR="00711C62" w:rsidRDefault="00000000">
            <w:pPr>
              <w:pStyle w:val="a0"/>
              <w:ind w:firstLine="240"/>
            </w:pPr>
            <w:r>
              <w:rPr>
                <w:rFonts w:ascii="宋体" w:eastAsia="宋体" w:hAnsi="宋体" w:cs="宋体"/>
                <w:noProof/>
                <w:sz w:val="24"/>
              </w:rPr>
              <w:drawing>
                <wp:anchor distT="0" distB="0" distL="114300" distR="114300" simplePos="0" relativeHeight="251659776" behindDoc="0" locked="0" layoutInCell="1" allowOverlap="1" wp14:anchorId="6BBD6B6B" wp14:editId="5CCEE394">
                  <wp:simplePos x="0" y="0"/>
                  <wp:positionH relativeFrom="column">
                    <wp:posOffset>17145</wp:posOffset>
                  </wp:positionH>
                  <wp:positionV relativeFrom="paragraph">
                    <wp:posOffset>802640</wp:posOffset>
                  </wp:positionV>
                  <wp:extent cx="1028700" cy="678815"/>
                  <wp:effectExtent l="0" t="0" r="0" b="6985"/>
                  <wp:wrapNone/>
                  <wp:docPr id="9"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descr="IMG_256"/>
                          <pic:cNvPicPr>
                            <a:picLocks noChangeAspect="1"/>
                          </pic:cNvPicPr>
                        </pic:nvPicPr>
                        <pic:blipFill>
                          <a:blip r:embed="rId20"/>
                          <a:stretch>
                            <a:fillRect/>
                          </a:stretch>
                        </pic:blipFill>
                        <pic:spPr>
                          <a:xfrm>
                            <a:off x="0" y="0"/>
                            <a:ext cx="1028700" cy="678815"/>
                          </a:xfrm>
                          <a:prstGeom prst="rect">
                            <a:avLst/>
                          </a:prstGeom>
                          <a:noFill/>
                          <a:ln w="9525">
                            <a:noFill/>
                          </a:ln>
                        </pic:spPr>
                      </pic:pic>
                    </a:graphicData>
                  </a:graphic>
                </wp:anchor>
              </w:drawing>
            </w:r>
          </w:p>
        </w:tc>
      </w:tr>
      <w:tr w:rsidR="00711C62" w14:paraId="50865F78" w14:textId="77777777">
        <w:tc>
          <w:tcPr>
            <w:tcW w:w="843" w:type="dxa"/>
          </w:tcPr>
          <w:p w14:paraId="4A03A074" w14:textId="77777777" w:rsidR="00711C62" w:rsidRDefault="00711C62">
            <w:pPr>
              <w:spacing w:line="360" w:lineRule="auto"/>
              <w:jc w:val="center"/>
              <w:rPr>
                <w:rFonts w:ascii="仿宋" w:eastAsia="仿宋" w:hAnsi="仿宋" w:cs="仿宋"/>
                <w:b/>
                <w:kern w:val="0"/>
                <w:sz w:val="24"/>
              </w:rPr>
            </w:pPr>
          </w:p>
        </w:tc>
        <w:tc>
          <w:tcPr>
            <w:tcW w:w="1222" w:type="dxa"/>
          </w:tcPr>
          <w:p w14:paraId="082F7130" w14:textId="77777777" w:rsidR="00711C62" w:rsidRDefault="00711C62">
            <w:pPr>
              <w:spacing w:line="360" w:lineRule="auto"/>
              <w:jc w:val="center"/>
              <w:rPr>
                <w:rFonts w:ascii="仿宋" w:eastAsia="仿宋" w:hAnsi="仿宋" w:cs="仿宋"/>
                <w:b/>
                <w:kern w:val="0"/>
                <w:sz w:val="24"/>
              </w:rPr>
            </w:pPr>
          </w:p>
        </w:tc>
        <w:tc>
          <w:tcPr>
            <w:tcW w:w="1207" w:type="dxa"/>
          </w:tcPr>
          <w:p w14:paraId="1F15F942" w14:textId="77777777" w:rsidR="00711C62" w:rsidRDefault="00711C62">
            <w:pPr>
              <w:spacing w:line="360" w:lineRule="auto"/>
              <w:jc w:val="center"/>
              <w:rPr>
                <w:rFonts w:ascii="仿宋" w:eastAsia="仿宋" w:hAnsi="仿宋" w:cs="仿宋"/>
                <w:b/>
                <w:kern w:val="0"/>
                <w:sz w:val="24"/>
              </w:rPr>
            </w:pPr>
          </w:p>
        </w:tc>
        <w:tc>
          <w:tcPr>
            <w:tcW w:w="1475" w:type="dxa"/>
          </w:tcPr>
          <w:p w14:paraId="29082302" w14:textId="77777777" w:rsidR="00711C62" w:rsidRDefault="00711C62">
            <w:pPr>
              <w:spacing w:line="360" w:lineRule="auto"/>
              <w:jc w:val="center"/>
              <w:rPr>
                <w:rFonts w:ascii="仿宋" w:eastAsia="仿宋" w:hAnsi="仿宋" w:cs="仿宋"/>
                <w:b/>
                <w:kern w:val="0"/>
                <w:sz w:val="24"/>
              </w:rPr>
            </w:pPr>
          </w:p>
        </w:tc>
        <w:tc>
          <w:tcPr>
            <w:tcW w:w="1600" w:type="dxa"/>
          </w:tcPr>
          <w:p w14:paraId="3833C8E3" w14:textId="77777777" w:rsidR="00711C62" w:rsidRDefault="00711C62">
            <w:pPr>
              <w:spacing w:line="360" w:lineRule="auto"/>
              <w:jc w:val="center"/>
              <w:rPr>
                <w:rFonts w:ascii="仿宋" w:eastAsia="仿宋" w:hAnsi="仿宋" w:cs="仿宋"/>
                <w:b/>
                <w:kern w:val="0"/>
                <w:sz w:val="24"/>
              </w:rPr>
            </w:pPr>
          </w:p>
        </w:tc>
        <w:tc>
          <w:tcPr>
            <w:tcW w:w="2765" w:type="dxa"/>
          </w:tcPr>
          <w:p w14:paraId="35AE790B" w14:textId="77777777" w:rsidR="00711C62" w:rsidRDefault="00711C62">
            <w:pPr>
              <w:spacing w:line="360" w:lineRule="auto"/>
              <w:jc w:val="center"/>
              <w:rPr>
                <w:rFonts w:ascii="仿宋" w:eastAsia="仿宋" w:hAnsi="仿宋" w:cs="仿宋"/>
                <w:b/>
                <w:kern w:val="0"/>
                <w:sz w:val="24"/>
              </w:rPr>
            </w:pPr>
          </w:p>
        </w:tc>
        <w:tc>
          <w:tcPr>
            <w:tcW w:w="1839" w:type="dxa"/>
          </w:tcPr>
          <w:p w14:paraId="016666E7" w14:textId="77777777" w:rsidR="00711C62" w:rsidRDefault="00711C62">
            <w:pPr>
              <w:spacing w:line="360" w:lineRule="auto"/>
              <w:jc w:val="center"/>
              <w:rPr>
                <w:rFonts w:ascii="仿宋" w:eastAsia="仿宋" w:hAnsi="仿宋" w:cs="仿宋"/>
                <w:b/>
                <w:kern w:val="0"/>
                <w:sz w:val="24"/>
              </w:rPr>
            </w:pPr>
          </w:p>
        </w:tc>
      </w:tr>
      <w:tr w:rsidR="00711C62" w14:paraId="7FEAB85F" w14:textId="77777777">
        <w:tc>
          <w:tcPr>
            <w:tcW w:w="843" w:type="dxa"/>
          </w:tcPr>
          <w:p w14:paraId="4E09573C" w14:textId="77777777" w:rsidR="00711C62" w:rsidRDefault="00711C62">
            <w:pPr>
              <w:spacing w:line="360" w:lineRule="auto"/>
              <w:jc w:val="center"/>
              <w:rPr>
                <w:rFonts w:ascii="仿宋" w:eastAsia="仿宋" w:hAnsi="仿宋" w:cs="仿宋"/>
                <w:b/>
                <w:kern w:val="0"/>
                <w:sz w:val="24"/>
              </w:rPr>
            </w:pPr>
          </w:p>
        </w:tc>
        <w:tc>
          <w:tcPr>
            <w:tcW w:w="1222" w:type="dxa"/>
          </w:tcPr>
          <w:p w14:paraId="57647987" w14:textId="77777777" w:rsidR="00711C62" w:rsidRDefault="00711C62">
            <w:pPr>
              <w:spacing w:line="360" w:lineRule="auto"/>
              <w:jc w:val="center"/>
              <w:rPr>
                <w:rFonts w:ascii="仿宋" w:eastAsia="仿宋" w:hAnsi="仿宋" w:cs="仿宋"/>
                <w:b/>
                <w:kern w:val="0"/>
                <w:sz w:val="24"/>
              </w:rPr>
            </w:pPr>
          </w:p>
        </w:tc>
        <w:tc>
          <w:tcPr>
            <w:tcW w:w="1207" w:type="dxa"/>
          </w:tcPr>
          <w:p w14:paraId="44971CFD" w14:textId="77777777" w:rsidR="00711C62" w:rsidRDefault="00711C62">
            <w:pPr>
              <w:spacing w:line="360" w:lineRule="auto"/>
              <w:jc w:val="center"/>
              <w:rPr>
                <w:rFonts w:ascii="仿宋" w:eastAsia="仿宋" w:hAnsi="仿宋" w:cs="仿宋"/>
                <w:b/>
                <w:kern w:val="0"/>
                <w:sz w:val="24"/>
              </w:rPr>
            </w:pPr>
          </w:p>
        </w:tc>
        <w:tc>
          <w:tcPr>
            <w:tcW w:w="1475" w:type="dxa"/>
          </w:tcPr>
          <w:p w14:paraId="743FF3CB" w14:textId="77777777" w:rsidR="00711C62" w:rsidRDefault="00711C62">
            <w:pPr>
              <w:spacing w:line="360" w:lineRule="auto"/>
              <w:jc w:val="center"/>
              <w:rPr>
                <w:rFonts w:ascii="仿宋" w:eastAsia="仿宋" w:hAnsi="仿宋" w:cs="仿宋"/>
                <w:b/>
                <w:kern w:val="0"/>
                <w:sz w:val="24"/>
              </w:rPr>
            </w:pPr>
          </w:p>
        </w:tc>
        <w:tc>
          <w:tcPr>
            <w:tcW w:w="1600" w:type="dxa"/>
          </w:tcPr>
          <w:p w14:paraId="5478A370" w14:textId="77777777" w:rsidR="00711C62" w:rsidRDefault="00711C62">
            <w:pPr>
              <w:spacing w:line="360" w:lineRule="auto"/>
              <w:jc w:val="center"/>
              <w:rPr>
                <w:rFonts w:ascii="仿宋" w:eastAsia="仿宋" w:hAnsi="仿宋" w:cs="仿宋"/>
                <w:b/>
                <w:kern w:val="0"/>
                <w:sz w:val="24"/>
              </w:rPr>
            </w:pPr>
          </w:p>
        </w:tc>
        <w:tc>
          <w:tcPr>
            <w:tcW w:w="2765" w:type="dxa"/>
          </w:tcPr>
          <w:p w14:paraId="3322E0B9" w14:textId="77777777" w:rsidR="00711C62" w:rsidRDefault="00711C62">
            <w:pPr>
              <w:spacing w:line="360" w:lineRule="auto"/>
              <w:jc w:val="center"/>
              <w:rPr>
                <w:rFonts w:ascii="仿宋" w:eastAsia="仿宋" w:hAnsi="仿宋" w:cs="仿宋"/>
                <w:b/>
                <w:kern w:val="0"/>
                <w:sz w:val="24"/>
              </w:rPr>
            </w:pPr>
          </w:p>
        </w:tc>
        <w:tc>
          <w:tcPr>
            <w:tcW w:w="1839" w:type="dxa"/>
          </w:tcPr>
          <w:p w14:paraId="5C13D54C" w14:textId="77777777" w:rsidR="00711C62" w:rsidRDefault="00711C62">
            <w:pPr>
              <w:spacing w:line="360" w:lineRule="auto"/>
              <w:jc w:val="center"/>
              <w:rPr>
                <w:rFonts w:ascii="仿宋" w:eastAsia="仿宋" w:hAnsi="仿宋" w:cs="仿宋"/>
                <w:b/>
                <w:kern w:val="0"/>
                <w:sz w:val="24"/>
              </w:rPr>
            </w:pPr>
          </w:p>
        </w:tc>
      </w:tr>
    </w:tbl>
    <w:p w14:paraId="6AB006B3" w14:textId="77777777" w:rsidR="00711C62" w:rsidRDefault="00711C62">
      <w:pPr>
        <w:pStyle w:val="a5"/>
        <w:ind w:firstLineChars="0" w:firstLine="0"/>
        <w:rPr>
          <w:sz w:val="28"/>
          <w:szCs w:val="28"/>
        </w:rPr>
      </w:pPr>
    </w:p>
    <w:sectPr w:rsidR="00711C62">
      <w:footerReference w:type="default" r:id="rId21"/>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8EE226" w14:textId="77777777" w:rsidR="00C41659" w:rsidRDefault="00C41659">
      <w:r>
        <w:separator/>
      </w:r>
    </w:p>
  </w:endnote>
  <w:endnote w:type="continuationSeparator" w:id="0">
    <w:p w14:paraId="66D4AB57" w14:textId="77777777" w:rsidR="00C41659" w:rsidRDefault="00C416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subsetted="1" w:fontKey="{363B38DD-5CE1-C84F-A209-179BBF21CA6E}"/>
  </w:font>
  <w:font w:name="宋体">
    <w:altName w:val="SimSun"/>
    <w:panose1 w:val="02010600030101010101"/>
    <w:charset w:val="86"/>
    <w:family w:val="auto"/>
    <w:pitch w:val="variable"/>
    <w:sig w:usb0="00000203" w:usb1="288F0000" w:usb2="00000016" w:usb3="00000000" w:csb0="00040001" w:csb1="00000000"/>
    <w:embedRegular r:id="rId2" w:subsetted="1" w:fontKey="{C890FBB9-F95B-914C-9DF0-9616044FC575}"/>
    <w:embedBold r:id="rId3" w:subsetted="1" w:fontKey="{0599E2D8-0731-9E4B-858D-472E7C1DCD21}"/>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embedRegular r:id="rId4" w:subsetted="1" w:fontKey="{C6DFE4F7-373E-6F40-803A-A3D19A325A9E}"/>
    <w:embedBold r:id="rId5" w:subsetted="1" w:fontKey="{4B88F265-0B72-D14F-A09F-00EEBB4544A8}"/>
  </w:font>
  <w:font w:name="方正小标宋简体">
    <w:altName w:val="黑体"/>
    <w:panose1 w:val="020B0604020202020204"/>
    <w:charset w:val="86"/>
    <w:family w:val="auto"/>
    <w:pitch w:val="default"/>
    <w:sig w:usb0="00000000" w:usb1="00000000" w:usb2="00000000" w:usb3="00000000" w:csb0="00040000"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汉仪雅酷黑 75W">
    <w:charset w:val="86"/>
    <w:family w:val="auto"/>
    <w:pitch w:val="default"/>
    <w:sig w:usb0="A00002FF" w:usb1="28C17CFA" w:usb2="00000016" w:usb3="00000000" w:csb0="2004000F" w:csb1="00000000"/>
    <w:embedBold r:id="rId6" w:subsetted="1" w:fontKey="{2ADA84B8-DC65-DC40-A2E0-B72873CCC381}"/>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embedRegular r:id="rId7" w:subsetted="1" w:fontKey="{DB5BC60A-81DB-0546-8920-F02A0E3838FE}"/>
    <w:embedBold r:id="rId8" w:subsetted="1" w:fontKey="{05CB39FE-9038-4649-B81F-14BC810BD97A}"/>
  </w:font>
  <w:font w:name="仿宋_GB2312">
    <w:altName w:val="仿宋"/>
    <w:panose1 w:val="020B0604020202020204"/>
    <w:charset w:val="86"/>
    <w:family w:val="modern"/>
    <w:pitch w:val="default"/>
    <w:sig w:usb0="00000000" w:usb1="00000000" w:usb2="00000000" w:usb3="00000000" w:csb0="00040000" w:csb1="00000000"/>
    <w:embedRegular r:id="rId9" w:subsetted="1" w:fontKey="{05536D3F-805A-BD48-9FA6-C5491D7C929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B16C8" w14:textId="77777777" w:rsidR="00711C62" w:rsidRDefault="00711C62">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0426F" w14:textId="77777777" w:rsidR="00711C62" w:rsidRDefault="00000000">
    <w:pPr>
      <w:pStyle w:val="a7"/>
    </w:pPr>
    <w:r>
      <w:rPr>
        <w:noProof/>
      </w:rPr>
      <mc:AlternateContent>
        <mc:Choice Requires="wps">
          <w:drawing>
            <wp:anchor distT="0" distB="0" distL="114300" distR="114300" simplePos="0" relativeHeight="251663360" behindDoc="0" locked="0" layoutInCell="1" allowOverlap="1" wp14:anchorId="42C94BA3" wp14:editId="3F67939E">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E263CB" w14:textId="77777777" w:rsidR="00711C62" w:rsidRDefault="00000000">
                          <w:pPr>
                            <w:pStyle w:val="a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2C94BA3" id="_x0000_t202" coordsize="21600,21600" o:spt="202" path="m,l,21600r21600,l21600,xe">
              <v:stroke joinstyle="miter"/>
              <v:path gradientshapeok="t" o:connecttype="rect"/>
            </v:shapetype>
            <v:shape id="文本框 2" o:spid="_x0000_s1029" type="#_x0000_t202" style="position:absolute;margin-left:0;margin-top:0;width:2in;height:2in;z-index:25166336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3EB4F0F7" w14:textId="77777777" w:rsidR="00711C62" w:rsidRDefault="00000000">
                    <w:pPr>
                      <w:pStyle w:val="a7"/>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22440" w14:textId="77777777" w:rsidR="00711C62" w:rsidRDefault="00711C62">
    <w:pPr>
      <w:pStyle w:val="a7"/>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EF971" w14:textId="77777777" w:rsidR="00711C62" w:rsidRDefault="00711C62">
    <w:pPr>
      <w:pStyle w:val="a7"/>
    </w:pPr>
  </w:p>
  <w:p w14:paraId="1CC436C6" w14:textId="77777777" w:rsidR="00711C62" w:rsidRDefault="00000000">
    <w:pPr>
      <w:pStyle w:val="a7"/>
    </w:pPr>
    <w:r>
      <w:rPr>
        <w:noProof/>
      </w:rPr>
      <mc:AlternateContent>
        <mc:Choice Requires="wps">
          <w:drawing>
            <wp:anchor distT="0" distB="0" distL="114300" distR="114300" simplePos="0" relativeHeight="251661312" behindDoc="0" locked="0" layoutInCell="1" allowOverlap="1" wp14:anchorId="0396E15B" wp14:editId="4E500213">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A949ED5" w14:textId="77777777" w:rsidR="00711C62" w:rsidRDefault="00000000">
                          <w:pPr>
                            <w:pStyle w:val="a7"/>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396E15B" id="_x0000_t202" coordsize="21600,21600" o:spt="202" path="m,l,21600r21600,l21600,xe">
              <v:stroke joinstyle="miter"/>
              <v:path gradientshapeok="t" o:connecttype="rect"/>
            </v:shapetype>
            <v:shape id="文本框 1" o:spid="_x0000_s1030" type="#_x0000_t202" style="position:absolute;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4534615D" w14:textId="77777777" w:rsidR="00711C62" w:rsidRDefault="00000000">
                    <w:pPr>
                      <w:pStyle w:val="a7"/>
                    </w:pPr>
                    <w:r>
                      <w:fldChar w:fldCharType="begin"/>
                    </w:r>
                    <w:r>
                      <w:instrText xml:space="preserve"> PAGE  \* MERGEFORMAT </w:instrText>
                    </w:r>
                    <w:r>
                      <w:fldChar w:fldCharType="separate"/>
                    </w:r>
                    <w:r>
                      <w:t>2</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2B55D4" w14:textId="77777777" w:rsidR="00C41659" w:rsidRDefault="00C41659">
      <w:r>
        <w:separator/>
      </w:r>
    </w:p>
  </w:footnote>
  <w:footnote w:type="continuationSeparator" w:id="0">
    <w:p w14:paraId="623B05A4" w14:textId="77777777" w:rsidR="00C41659" w:rsidRDefault="00C416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A3492" w14:textId="77777777" w:rsidR="00711C62" w:rsidRDefault="00711C62">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861A3" w14:textId="77777777" w:rsidR="00711C62" w:rsidRDefault="00711C62">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CA63566"/>
    <w:multiLevelType w:val="singleLevel"/>
    <w:tmpl w:val="CCA63566"/>
    <w:lvl w:ilvl="0">
      <w:start w:val="2"/>
      <w:numFmt w:val="chineseCounting"/>
      <w:suff w:val="nothing"/>
      <w:lvlText w:val="（%1）"/>
      <w:lvlJc w:val="left"/>
      <w:rPr>
        <w:rFonts w:hint="eastAsia"/>
      </w:rPr>
    </w:lvl>
  </w:abstractNum>
  <w:abstractNum w:abstractNumId="1" w15:restartNumberingAfterBreak="0">
    <w:nsid w:val="E385005D"/>
    <w:multiLevelType w:val="singleLevel"/>
    <w:tmpl w:val="E385005D"/>
    <w:lvl w:ilvl="0">
      <w:start w:val="3"/>
      <w:numFmt w:val="chineseCounting"/>
      <w:suff w:val="nothing"/>
      <w:lvlText w:val="%1、"/>
      <w:lvlJc w:val="left"/>
      <w:rPr>
        <w:rFonts w:hint="eastAsia"/>
      </w:rPr>
    </w:lvl>
  </w:abstractNum>
  <w:abstractNum w:abstractNumId="2" w15:restartNumberingAfterBreak="0">
    <w:nsid w:val="E815EF7E"/>
    <w:multiLevelType w:val="singleLevel"/>
    <w:tmpl w:val="E815EF7E"/>
    <w:lvl w:ilvl="0">
      <w:start w:val="2"/>
      <w:numFmt w:val="chineseCounting"/>
      <w:suff w:val="nothing"/>
      <w:lvlText w:val="%1、"/>
      <w:lvlJc w:val="left"/>
      <w:rPr>
        <w:rFonts w:hint="eastAsia"/>
      </w:rPr>
    </w:lvl>
  </w:abstractNum>
  <w:abstractNum w:abstractNumId="3" w15:restartNumberingAfterBreak="0">
    <w:nsid w:val="3D91A2C9"/>
    <w:multiLevelType w:val="singleLevel"/>
    <w:tmpl w:val="3D91A2C9"/>
    <w:lvl w:ilvl="0">
      <w:start w:val="3"/>
      <w:numFmt w:val="chineseCounting"/>
      <w:suff w:val="nothing"/>
      <w:lvlText w:val="（%1）"/>
      <w:lvlJc w:val="left"/>
      <w:rPr>
        <w:rFonts w:hint="eastAsia"/>
      </w:rPr>
    </w:lvl>
  </w:abstractNum>
  <w:num w:numId="1" w16cid:durableId="245964236">
    <w:abstractNumId w:val="2"/>
  </w:num>
  <w:num w:numId="2" w16cid:durableId="1815489322">
    <w:abstractNumId w:val="3"/>
  </w:num>
  <w:num w:numId="3" w16cid:durableId="678198474">
    <w:abstractNumId w:val="0"/>
  </w:num>
  <w:num w:numId="4" w16cid:durableId="1033551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bordersDoNotSurroundHeader/>
  <w:bordersDoNotSurroundFooter/>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2YzODM2MTY5OTA5YzEzYmUzNzdjYTQwZGU2MmVjZTcifQ=="/>
    <w:docVar w:name="KSO_WPS_MARK_KEY" w:val="093c1306-62e0-46b7-8b96-3ba989b92593"/>
  </w:docVars>
  <w:rsids>
    <w:rsidRoot w:val="6FAD119E"/>
    <w:rsid w:val="00070503"/>
    <w:rsid w:val="000D5FFE"/>
    <w:rsid w:val="00207354"/>
    <w:rsid w:val="00226A31"/>
    <w:rsid w:val="002B5FA0"/>
    <w:rsid w:val="002D68EF"/>
    <w:rsid w:val="003973CC"/>
    <w:rsid w:val="005231C6"/>
    <w:rsid w:val="00532482"/>
    <w:rsid w:val="0054371B"/>
    <w:rsid w:val="00711C62"/>
    <w:rsid w:val="007427F5"/>
    <w:rsid w:val="00A16721"/>
    <w:rsid w:val="00A875F8"/>
    <w:rsid w:val="00BB56BF"/>
    <w:rsid w:val="00C41659"/>
    <w:rsid w:val="00E4624F"/>
    <w:rsid w:val="00E87C4D"/>
    <w:rsid w:val="00EA2540"/>
    <w:rsid w:val="00FE758E"/>
    <w:rsid w:val="01081178"/>
    <w:rsid w:val="01BA61B0"/>
    <w:rsid w:val="04FF4657"/>
    <w:rsid w:val="05776166"/>
    <w:rsid w:val="0582483D"/>
    <w:rsid w:val="05902564"/>
    <w:rsid w:val="06A0349B"/>
    <w:rsid w:val="06D7510F"/>
    <w:rsid w:val="07252C5F"/>
    <w:rsid w:val="09102B5A"/>
    <w:rsid w:val="0920087A"/>
    <w:rsid w:val="0A634F0B"/>
    <w:rsid w:val="0AF12A44"/>
    <w:rsid w:val="0B2C5BD2"/>
    <w:rsid w:val="0BB2614A"/>
    <w:rsid w:val="0BDA0E50"/>
    <w:rsid w:val="0CBA5D14"/>
    <w:rsid w:val="0E3E5FF1"/>
    <w:rsid w:val="0E4B6ECF"/>
    <w:rsid w:val="0E637794"/>
    <w:rsid w:val="0E777603"/>
    <w:rsid w:val="113B0990"/>
    <w:rsid w:val="11EB30BF"/>
    <w:rsid w:val="1260227A"/>
    <w:rsid w:val="132A27B3"/>
    <w:rsid w:val="1355550E"/>
    <w:rsid w:val="150A5263"/>
    <w:rsid w:val="15517779"/>
    <w:rsid w:val="15E1239B"/>
    <w:rsid w:val="16A6744E"/>
    <w:rsid w:val="17BA0860"/>
    <w:rsid w:val="18317B42"/>
    <w:rsid w:val="18532B2D"/>
    <w:rsid w:val="189D5730"/>
    <w:rsid w:val="18AA2DF0"/>
    <w:rsid w:val="18D019BE"/>
    <w:rsid w:val="1973420E"/>
    <w:rsid w:val="19945686"/>
    <w:rsid w:val="1A093431"/>
    <w:rsid w:val="1A18186E"/>
    <w:rsid w:val="1A6923F8"/>
    <w:rsid w:val="1B972C31"/>
    <w:rsid w:val="1BCA6B98"/>
    <w:rsid w:val="1C3F2073"/>
    <w:rsid w:val="1E432C32"/>
    <w:rsid w:val="1E900B53"/>
    <w:rsid w:val="1F2C53C9"/>
    <w:rsid w:val="1F9305BB"/>
    <w:rsid w:val="1FEF1DBE"/>
    <w:rsid w:val="22680EB9"/>
    <w:rsid w:val="22AD5379"/>
    <w:rsid w:val="23171F1A"/>
    <w:rsid w:val="232079E6"/>
    <w:rsid w:val="233B56E8"/>
    <w:rsid w:val="24661428"/>
    <w:rsid w:val="24D42D58"/>
    <w:rsid w:val="25682391"/>
    <w:rsid w:val="26004BB6"/>
    <w:rsid w:val="26753FB5"/>
    <w:rsid w:val="268215A5"/>
    <w:rsid w:val="269177FC"/>
    <w:rsid w:val="279A7D67"/>
    <w:rsid w:val="27E02525"/>
    <w:rsid w:val="291760DE"/>
    <w:rsid w:val="29657E9C"/>
    <w:rsid w:val="2A696356"/>
    <w:rsid w:val="2ADA3404"/>
    <w:rsid w:val="2B62397F"/>
    <w:rsid w:val="2BE36EAD"/>
    <w:rsid w:val="2D7564AC"/>
    <w:rsid w:val="2DA33399"/>
    <w:rsid w:val="2F2148C9"/>
    <w:rsid w:val="2F6F78B4"/>
    <w:rsid w:val="30847806"/>
    <w:rsid w:val="318F2BB9"/>
    <w:rsid w:val="32523F5D"/>
    <w:rsid w:val="32990C1B"/>
    <w:rsid w:val="337F78F6"/>
    <w:rsid w:val="33A1247D"/>
    <w:rsid w:val="35A13359"/>
    <w:rsid w:val="36BD5820"/>
    <w:rsid w:val="36C97E74"/>
    <w:rsid w:val="375366A9"/>
    <w:rsid w:val="37A34186"/>
    <w:rsid w:val="37E2011D"/>
    <w:rsid w:val="384B3C65"/>
    <w:rsid w:val="389905B6"/>
    <w:rsid w:val="39BB12E1"/>
    <w:rsid w:val="39FC665F"/>
    <w:rsid w:val="3A3E6C77"/>
    <w:rsid w:val="3A9A1A13"/>
    <w:rsid w:val="3AB81FD9"/>
    <w:rsid w:val="3B7A783B"/>
    <w:rsid w:val="3BA92DA3"/>
    <w:rsid w:val="3C174EA5"/>
    <w:rsid w:val="3C943E4F"/>
    <w:rsid w:val="3CC2376C"/>
    <w:rsid w:val="3D023F8C"/>
    <w:rsid w:val="3E2C4DF2"/>
    <w:rsid w:val="3EA00F94"/>
    <w:rsid w:val="3EE501E4"/>
    <w:rsid w:val="3EF27600"/>
    <w:rsid w:val="3FF64A68"/>
    <w:rsid w:val="40233038"/>
    <w:rsid w:val="41252302"/>
    <w:rsid w:val="417B183A"/>
    <w:rsid w:val="44817E8C"/>
    <w:rsid w:val="44C63AF1"/>
    <w:rsid w:val="454669E0"/>
    <w:rsid w:val="462036D5"/>
    <w:rsid w:val="46580093"/>
    <w:rsid w:val="46F506BE"/>
    <w:rsid w:val="46F83FEF"/>
    <w:rsid w:val="48AF414A"/>
    <w:rsid w:val="491C6FB3"/>
    <w:rsid w:val="4A385466"/>
    <w:rsid w:val="4A670CE8"/>
    <w:rsid w:val="4AA864BE"/>
    <w:rsid w:val="4B6B2711"/>
    <w:rsid w:val="4C62221E"/>
    <w:rsid w:val="4C9918E4"/>
    <w:rsid w:val="4C9F354C"/>
    <w:rsid w:val="4CD54D70"/>
    <w:rsid w:val="4DB72F08"/>
    <w:rsid w:val="4EE24129"/>
    <w:rsid w:val="4F5F591A"/>
    <w:rsid w:val="4F9D7F49"/>
    <w:rsid w:val="4FD21157"/>
    <w:rsid w:val="5112146E"/>
    <w:rsid w:val="519D3E2C"/>
    <w:rsid w:val="53AB443A"/>
    <w:rsid w:val="53B461A3"/>
    <w:rsid w:val="53DE7DCC"/>
    <w:rsid w:val="54493DF7"/>
    <w:rsid w:val="548D2425"/>
    <w:rsid w:val="55BD684B"/>
    <w:rsid w:val="56AB2B47"/>
    <w:rsid w:val="570556AF"/>
    <w:rsid w:val="57CA5A0D"/>
    <w:rsid w:val="593B4656"/>
    <w:rsid w:val="59615729"/>
    <w:rsid w:val="5A7A31A7"/>
    <w:rsid w:val="5AD308BE"/>
    <w:rsid w:val="5B2B3037"/>
    <w:rsid w:val="5C25339C"/>
    <w:rsid w:val="5CD0127E"/>
    <w:rsid w:val="5D211DB5"/>
    <w:rsid w:val="5D223E72"/>
    <w:rsid w:val="5D6C2B05"/>
    <w:rsid w:val="5D944C17"/>
    <w:rsid w:val="5DB449D7"/>
    <w:rsid w:val="5DBE2E3B"/>
    <w:rsid w:val="5DF41C45"/>
    <w:rsid w:val="5E5B12F6"/>
    <w:rsid w:val="5ED833BE"/>
    <w:rsid w:val="5FFF511A"/>
    <w:rsid w:val="6024579D"/>
    <w:rsid w:val="605A54D1"/>
    <w:rsid w:val="605C4EB2"/>
    <w:rsid w:val="60786B06"/>
    <w:rsid w:val="60934D78"/>
    <w:rsid w:val="60A00C05"/>
    <w:rsid w:val="60DB768E"/>
    <w:rsid w:val="64E4010E"/>
    <w:rsid w:val="65420B1A"/>
    <w:rsid w:val="656A29E1"/>
    <w:rsid w:val="679C519F"/>
    <w:rsid w:val="67DB422B"/>
    <w:rsid w:val="68961EAE"/>
    <w:rsid w:val="68F107C7"/>
    <w:rsid w:val="6A912655"/>
    <w:rsid w:val="6AE53D1A"/>
    <w:rsid w:val="6C00398D"/>
    <w:rsid w:val="6C6D5580"/>
    <w:rsid w:val="6C7D097A"/>
    <w:rsid w:val="6CB97314"/>
    <w:rsid w:val="6D323B6A"/>
    <w:rsid w:val="6D4B7DB1"/>
    <w:rsid w:val="6E2F28F2"/>
    <w:rsid w:val="6E755ABD"/>
    <w:rsid w:val="6F8C7562"/>
    <w:rsid w:val="6FAD119E"/>
    <w:rsid w:val="720535FB"/>
    <w:rsid w:val="723839D1"/>
    <w:rsid w:val="73813156"/>
    <w:rsid w:val="74736F42"/>
    <w:rsid w:val="75410E98"/>
    <w:rsid w:val="75BC4EF0"/>
    <w:rsid w:val="76236746"/>
    <w:rsid w:val="764E665C"/>
    <w:rsid w:val="765C45EC"/>
    <w:rsid w:val="77FF0DFC"/>
    <w:rsid w:val="78B41827"/>
    <w:rsid w:val="78BC253A"/>
    <w:rsid w:val="7A755E1C"/>
    <w:rsid w:val="7AC73B44"/>
    <w:rsid w:val="7B5260D2"/>
    <w:rsid w:val="7BD209F2"/>
    <w:rsid w:val="7CA56035"/>
    <w:rsid w:val="7DB251F2"/>
    <w:rsid w:val="7DDC516C"/>
    <w:rsid w:val="7DEE13E8"/>
    <w:rsid w:val="7E4C704B"/>
    <w:rsid w:val="7EB16CB8"/>
    <w:rsid w:val="7F5206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57925792"/>
  <w15:docId w15:val="{76F20189-ABDD-4FC2-9733-99F68622E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unhideWhenUsed="1" w:qFormat="1"/>
    <w:lsdException w:name="heading 5" w:unhideWhenUsed="1" w:qFormat="1"/>
    <w:lsdException w:name="heading 6" w:unhideWhenUsed="1" w:qFormat="1"/>
    <w:lsdException w:name="heading 7"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Normal Indent" w:qFormat="1"/>
    <w:lsdException w:name="annotation text"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Body Text" w:qFormat="1"/>
    <w:lsdException w:name="Subtitle" w:qFormat="1"/>
    <w:lsdException w:name="Body Text First Indent" w:uiPriority="99" w:unhideWhenUsed="1" w:qFormat="1"/>
    <w:lsdException w:name="Hyperlink" w:uiPriority="99" w:qFormat="1"/>
    <w:lsdException w:name="Followed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ite" w:qFormat="1"/>
    <w:lsdException w:name="HTML Code" w:qFormat="1"/>
    <w:lsdException w:name="HTML Definition" w:qFormat="1"/>
    <w:lsdException w:name="HTML Keyboard" w:qFormat="1"/>
    <w:lsdException w:name="HTML Sample" w:qFormat="1"/>
    <w:lsdException w:name="HTML Variable"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jc w:val="both"/>
    </w:pPr>
    <w:rPr>
      <w:kern w:val="2"/>
      <w:sz w:val="21"/>
      <w:szCs w:val="24"/>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unhideWhenUsed/>
    <w:qFormat/>
    <w:pPr>
      <w:keepNext/>
      <w:keepLines/>
      <w:spacing w:before="260" w:after="260" w:line="413" w:lineRule="auto"/>
      <w:outlineLvl w:val="1"/>
    </w:pPr>
    <w:rPr>
      <w:rFonts w:ascii="Arial" w:eastAsia="黑体" w:hAnsi="Arial"/>
      <w:b/>
      <w:sz w:val="32"/>
    </w:rPr>
  </w:style>
  <w:style w:type="paragraph" w:styleId="3">
    <w:name w:val="heading 3"/>
    <w:basedOn w:val="a"/>
    <w:next w:val="a"/>
    <w:semiHidden/>
    <w:unhideWhenUsed/>
    <w:qFormat/>
    <w:pPr>
      <w:keepNext/>
      <w:keepLines/>
      <w:spacing w:before="260" w:after="260" w:line="413" w:lineRule="auto"/>
      <w:outlineLvl w:val="2"/>
    </w:pPr>
    <w:rPr>
      <w:b/>
      <w:sz w:val="32"/>
    </w:rPr>
  </w:style>
  <w:style w:type="paragraph" w:styleId="4">
    <w:name w:val="heading 4"/>
    <w:basedOn w:val="a"/>
    <w:next w:val="a"/>
    <w:unhideWhenUsed/>
    <w:qFormat/>
    <w:pPr>
      <w:keepNext/>
      <w:keepLines/>
      <w:spacing w:before="280" w:after="290" w:line="372" w:lineRule="auto"/>
      <w:outlineLvl w:val="3"/>
    </w:pPr>
    <w:rPr>
      <w:rFonts w:ascii="Arial" w:eastAsia="黑体" w:hAnsi="Arial"/>
      <w:b/>
      <w:sz w:val="28"/>
    </w:rPr>
  </w:style>
  <w:style w:type="paragraph" w:styleId="5">
    <w:name w:val="heading 5"/>
    <w:basedOn w:val="a"/>
    <w:next w:val="a"/>
    <w:unhideWhenUsed/>
    <w:qFormat/>
    <w:pPr>
      <w:keepNext/>
      <w:keepLines/>
      <w:spacing w:before="280" w:after="290" w:line="372" w:lineRule="auto"/>
      <w:outlineLvl w:val="4"/>
    </w:pPr>
    <w:rPr>
      <w:b/>
      <w:sz w:val="28"/>
    </w:rPr>
  </w:style>
  <w:style w:type="paragraph" w:styleId="6">
    <w:name w:val="heading 6"/>
    <w:basedOn w:val="a"/>
    <w:next w:val="a"/>
    <w:unhideWhenUsed/>
    <w:qFormat/>
    <w:pPr>
      <w:keepNext/>
      <w:keepLines/>
      <w:spacing w:before="240" w:after="64" w:line="317" w:lineRule="auto"/>
      <w:outlineLvl w:val="5"/>
    </w:pPr>
    <w:rPr>
      <w:rFonts w:ascii="Arial" w:eastAsia="黑体" w:hAnsi="Arial"/>
      <w:b/>
      <w:sz w:val="24"/>
    </w:rPr>
  </w:style>
  <w:style w:type="paragraph" w:styleId="7">
    <w:name w:val="heading 7"/>
    <w:basedOn w:val="a"/>
    <w:next w:val="a"/>
    <w:unhideWhenUsed/>
    <w:qFormat/>
    <w:pPr>
      <w:keepNext/>
      <w:keepLines/>
      <w:spacing w:before="240" w:after="64" w:line="317" w:lineRule="auto"/>
      <w:outlineLvl w:val="6"/>
    </w:pPr>
    <w:rPr>
      <w:b/>
      <w:sz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First Indent"/>
    <w:basedOn w:val="a4"/>
    <w:next w:val="a"/>
    <w:uiPriority w:val="99"/>
    <w:unhideWhenUsed/>
    <w:qFormat/>
    <w:pPr>
      <w:ind w:firstLineChars="100" w:firstLine="420"/>
    </w:pPr>
  </w:style>
  <w:style w:type="paragraph" w:styleId="a4">
    <w:name w:val="Body Text"/>
    <w:basedOn w:val="a"/>
    <w:next w:val="a"/>
    <w:qFormat/>
    <w:pPr>
      <w:spacing w:line="540" w:lineRule="exact"/>
    </w:pPr>
    <w:rPr>
      <w:rFonts w:eastAsia="方正小标宋简体"/>
      <w:sz w:val="44"/>
    </w:rPr>
  </w:style>
  <w:style w:type="paragraph" w:styleId="a5">
    <w:name w:val="Normal Indent"/>
    <w:basedOn w:val="a"/>
    <w:qFormat/>
    <w:pPr>
      <w:ind w:firstLineChars="200" w:firstLine="420"/>
    </w:pPr>
    <w:rPr>
      <w:kern w:val="0"/>
      <w:sz w:val="20"/>
    </w:rPr>
  </w:style>
  <w:style w:type="paragraph" w:styleId="a6">
    <w:name w:val="annotation text"/>
    <w:basedOn w:val="a"/>
    <w:qFormat/>
    <w:pPr>
      <w:jc w:val="left"/>
    </w:pPr>
  </w:style>
  <w:style w:type="paragraph" w:styleId="TOC3">
    <w:name w:val="toc 3"/>
    <w:basedOn w:val="a"/>
    <w:next w:val="a"/>
    <w:uiPriority w:val="39"/>
    <w:qFormat/>
    <w:pPr>
      <w:ind w:leftChars="400" w:left="840"/>
    </w:pPr>
  </w:style>
  <w:style w:type="paragraph" w:styleId="a7">
    <w:name w:val="footer"/>
    <w:basedOn w:val="a"/>
    <w:qFormat/>
    <w:pPr>
      <w:tabs>
        <w:tab w:val="center" w:pos="4153"/>
        <w:tab w:val="right" w:pos="8306"/>
      </w:tabs>
      <w:snapToGrid w:val="0"/>
      <w:jc w:val="left"/>
    </w:pPr>
    <w:rPr>
      <w:sz w:val="18"/>
    </w:rPr>
  </w:style>
  <w:style w:type="paragraph" w:styleId="a8">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uiPriority w:val="39"/>
    <w:qFormat/>
  </w:style>
  <w:style w:type="paragraph" w:styleId="TOC2">
    <w:name w:val="toc 2"/>
    <w:basedOn w:val="a"/>
    <w:next w:val="a"/>
    <w:uiPriority w:val="39"/>
    <w:qFormat/>
    <w:pPr>
      <w:ind w:leftChars="200" w:left="420"/>
    </w:pPr>
  </w:style>
  <w:style w:type="paragraph" w:styleId="a9">
    <w:name w:val="Normal (Web)"/>
    <w:basedOn w:val="a"/>
    <w:qFormat/>
    <w:pPr>
      <w:spacing w:beforeAutospacing="1" w:afterAutospacing="1"/>
      <w:jc w:val="left"/>
    </w:pPr>
    <w:rPr>
      <w:rFonts w:asciiTheme="minorHAnsi" w:eastAsiaTheme="minorEastAsia" w:hAnsiTheme="minorHAnsi"/>
      <w:kern w:val="0"/>
      <w:sz w:val="24"/>
    </w:rPr>
  </w:style>
  <w:style w:type="table" w:styleId="aa">
    <w:name w:val="Table Grid"/>
    <w:basedOn w:val="a2"/>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Strong"/>
    <w:basedOn w:val="a1"/>
    <w:qFormat/>
    <w:rPr>
      <w:b/>
    </w:rPr>
  </w:style>
  <w:style w:type="character" w:styleId="ac">
    <w:name w:val="FollowedHyperlink"/>
    <w:basedOn w:val="a1"/>
    <w:qFormat/>
    <w:rPr>
      <w:color w:val="800080"/>
      <w:u w:val="none"/>
    </w:rPr>
  </w:style>
  <w:style w:type="character" w:styleId="ad">
    <w:name w:val="Emphasis"/>
    <w:basedOn w:val="a1"/>
    <w:qFormat/>
  </w:style>
  <w:style w:type="character" w:styleId="HTML">
    <w:name w:val="HTML Definition"/>
    <w:basedOn w:val="a1"/>
    <w:qFormat/>
  </w:style>
  <w:style w:type="character" w:styleId="HTML0">
    <w:name w:val="HTML Variable"/>
    <w:basedOn w:val="a1"/>
    <w:qFormat/>
  </w:style>
  <w:style w:type="character" w:styleId="ae">
    <w:name w:val="Hyperlink"/>
    <w:basedOn w:val="a1"/>
    <w:uiPriority w:val="99"/>
    <w:qFormat/>
    <w:rPr>
      <w:color w:val="0000FF"/>
      <w:u w:val="single"/>
    </w:rPr>
  </w:style>
  <w:style w:type="character" w:styleId="HTML1">
    <w:name w:val="HTML Code"/>
    <w:basedOn w:val="a1"/>
    <w:qFormat/>
    <w:rPr>
      <w:rFonts w:ascii="Arial" w:hAnsi="Arial" w:cs="Arial" w:hint="eastAsia"/>
      <w:sz w:val="20"/>
    </w:rPr>
  </w:style>
  <w:style w:type="character" w:styleId="HTML2">
    <w:name w:val="HTML Cite"/>
    <w:basedOn w:val="a1"/>
    <w:qFormat/>
  </w:style>
  <w:style w:type="character" w:styleId="HTML3">
    <w:name w:val="HTML Keyboard"/>
    <w:basedOn w:val="a1"/>
    <w:qFormat/>
    <w:rPr>
      <w:rFonts w:ascii="Arial" w:hAnsi="Arial" w:cs="Arial" w:hint="default"/>
      <w:sz w:val="20"/>
    </w:rPr>
  </w:style>
  <w:style w:type="character" w:styleId="HTML4">
    <w:name w:val="HTML Sample"/>
    <w:basedOn w:val="a1"/>
    <w:qFormat/>
    <w:rPr>
      <w:rFonts w:ascii="Arial" w:hAnsi="Arial" w:cs="Arial" w:hint="default"/>
    </w:rPr>
  </w:style>
  <w:style w:type="paragraph" w:styleId="af">
    <w:name w:val="List Paragraph"/>
    <w:basedOn w:val="a"/>
    <w:uiPriority w:val="34"/>
    <w:qFormat/>
    <w:pPr>
      <w:ind w:firstLineChars="200" w:firstLine="420"/>
    </w:pPr>
  </w:style>
  <w:style w:type="paragraph" w:customStyle="1" w:styleId="WPSOffice2">
    <w:name w:val="WPSOffice手动目录 2"/>
    <w:qFormat/>
    <w:pPr>
      <w:ind w:leftChars="200" w:left="200"/>
    </w:pPr>
  </w:style>
  <w:style w:type="paragraph" w:customStyle="1" w:styleId="WPSOffice1">
    <w:name w:val="WPSOffice手动目录 1"/>
    <w:qFormat/>
  </w:style>
  <w:style w:type="paragraph" w:customStyle="1" w:styleId="WPSOffice3">
    <w:name w:val="WPSOffice手动目录 3"/>
    <w:qFormat/>
    <w:pPr>
      <w:ind w:leftChars="400" w:left="400"/>
    </w:pPr>
  </w:style>
  <w:style w:type="character" w:customStyle="1" w:styleId="hover4">
    <w:name w:val="hover4"/>
    <w:basedOn w:val="a1"/>
    <w:qFormat/>
    <w:rPr>
      <w:color w:val="315EFB"/>
    </w:rPr>
  </w:style>
  <w:style w:type="character" w:customStyle="1" w:styleId="index-moduleaccountauthentication3bwix">
    <w:name w:val="index-module_accountauthentication_3bwix"/>
    <w:basedOn w:val="a1"/>
    <w:qFormat/>
  </w:style>
  <w:style w:type="character" w:customStyle="1" w:styleId="i-origin">
    <w:name w:val="i-origin"/>
    <w:basedOn w:val="a1"/>
    <w:qFormat/>
    <w:rPr>
      <w:color w:val="FFFFFF"/>
      <w:sz w:val="18"/>
      <w:szCs w:val="18"/>
      <w:shd w:val="clear" w:color="auto" w:fill="4FCA1E"/>
    </w:rPr>
  </w:style>
  <w:style w:type="character" w:customStyle="1" w:styleId="good-num">
    <w:name w:val="good-num"/>
    <w:basedOn w:val="a1"/>
    <w:qFormat/>
    <w:rPr>
      <w:rFonts w:ascii="微软雅黑" w:eastAsia="微软雅黑" w:hAnsi="微软雅黑" w:cs="微软雅黑"/>
      <w:color w:val="999999"/>
      <w:sz w:val="15"/>
      <w:szCs w:val="15"/>
    </w:rPr>
  </w:style>
  <w:style w:type="character" w:customStyle="1" w:styleId="writer">
    <w:name w:val="writer"/>
    <w:basedOn w:val="a1"/>
    <w:qFormat/>
    <w:rPr>
      <w:color w:val="999999"/>
      <w:sz w:val="18"/>
      <w:szCs w:val="18"/>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color w:val="2E74B5"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5.png"/><Relationship Id="rId3" Type="http://schemas.openxmlformats.org/officeDocument/2006/relationships/numbering" Target="numbering.xml"/><Relationship Id="rId21" Type="http://schemas.openxmlformats.org/officeDocument/2006/relationships/footer" Target="footer4.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jpeg"/><Relationship Id="rId20"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4ECB2F2D-22A9-4358-9FC5-4A686A5FD26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1017</Words>
  <Characters>5803</Characters>
  <Application>Microsoft Office Word</Application>
  <DocSecurity>0</DocSecurity>
  <Lines>48</Lines>
  <Paragraphs>13</Paragraphs>
  <ScaleCrop>false</ScaleCrop>
  <Company/>
  <LinksUpToDate>false</LinksUpToDate>
  <CharactersWithSpaces>6807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咕咕</dc:creator>
  <cp:lastModifiedBy>鸿喆 刘</cp:lastModifiedBy>
  <cp:revision>4</cp:revision>
  <cp:lastPrinted>2026-06-11T08:22:00Z</cp:lastPrinted>
  <dcterms:created xsi:type="dcterms:W3CDTF">2026-06-11T08:22:00Z</dcterms:created>
  <dcterms:modified xsi:type="dcterms:W3CDTF">2026-06-11T09:02:00Z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7769EF5A7DD34114BB11721806DE4E02_13</vt:lpwstr>
  </property>
  <property fmtid="{D5CDD505-2E9C-101B-9397-08002B2CF9AE}" pid="4" name="commondata">
    <vt:lpwstr>eyJoZGlkIjoiOWY5Nzg3OGVlYjgzOWVkNmQzMWQ2OWU1YjlhZTgwMWUifQ==</vt:lpwstr>
  </property>
  <property fmtid="{D5CDD505-2E9C-101B-9397-08002B2CF9AE}" pid="5" name="KSOTemplateDocerSaveRecord">
    <vt:lpwstr>eyJoZGlkIjoiZjg5ZDlkNjVmZmNiMjliYTIwMjg1NDI1YzU2NjA1MjMiLCJ1c2VySWQiOiI0MTk5MjIzNDIifQ==</vt:lpwstr>
  </property>
</Properties>
</file>