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28"/>
        </w:rPr>
        <w:t xml:space="preserve">智能建造工程2026级人才培养方案</w:t>
      </w:r>
    </w:p>
    <w:p>
      <w:pPr>
        <w:spacing w:after="160"/>
      </w:pPr>
      <w:r>
        <w:t xml:space="preserve">智能建造工程 · 240302 · 职业本科 · 2026级</w:t>
      </w:r>
    </w:p>
    <w:p>
      <w:pPr>
        <w:spacing w:after="160"/>
      </w:pPr>
      <w:r>
        <w:rPr>
          <w:b/>
          <w:sz w:val="28"/>
        </w:rPr>
        <w:t xml:space="preserve">1. 专业名称</w:t>
      </w:r>
    </w:p>
    <w:p>
      <w:pPr>
        <w:spacing w:after="160"/>
      </w:pPr>
      <w:r>
        <w:t xml:space="preserve">智能建造工程</w:t>
      </w:r>
    </w:p>
    <w:p>
      <w:pPr>
        <w:spacing w:after="160"/>
      </w:pPr>
      <w:r>
        <w:rPr>
          <w:b/>
          <w:sz w:val="28"/>
        </w:rPr>
        <w:t xml:space="preserve">2. 专业代码</w:t>
      </w:r>
    </w:p>
    <w:p>
      <w:pPr>
        <w:spacing w:after="160"/>
      </w:pPr>
      <w:r>
        <w:t xml:space="preserve">240302</w:t>
      </w:r>
    </w:p>
    <w:p>
      <w:pPr>
        <w:spacing w:after="160"/>
      </w:pPr>
      <w:r>
        <w:rPr>
          <w:b/>
          <w:sz w:val="28"/>
        </w:rPr>
        <w:t xml:space="preserve">3. 入学要求</w:t>
      </w:r>
    </w:p>
    <w:p>
      <w:pPr>
        <w:spacing w:after="160"/>
      </w:pPr>
      <w:r>
        <w:t xml:space="preserve">按本校招生章程及国家招生政策执行，具体入学要求由学校确认。</w:t>
      </w:r>
    </w:p>
    <w:p>
      <w:pPr>
        <w:spacing w:after="160"/>
      </w:pPr>
      <w:r>
        <w:rPr>
          <w:b/>
          <w:sz w:val="28"/>
        </w:rPr>
        <w:t xml:space="preserve">4. 修业年限</w:t>
      </w:r>
    </w:p>
    <w:p>
      <w:pPr>
        <w:spacing w:after="160"/>
      </w:pPr>
      <w:r>
        <w:t xml:space="preserve">基本学制4年，适用2026级。弹性修业年限按学校学籍管理规定执行。</w:t>
      </w:r>
    </w:p>
    <w:p>
      <w:pPr>
        <w:spacing w:after="160"/>
      </w:pPr>
      <w:r>
        <w:rPr>
          <w:b/>
          <w:sz w:val="28"/>
        </w:rPr>
        <w:t xml:space="preserve">5. 学生发展与学业支持</w:t>
      </w:r>
    </w:p>
    <w:p>
      <w:pPr>
        <w:spacing w:after="160"/>
      </w:pPr>
      <w:r>
        <w:t xml:space="preserve">说明学生学业指导、学习过程跟踪、转专业学分认定及支持措施，学校执行情况和责任人待补充。</w:t>
      </w:r>
    </w:p>
    <w:p>
      <w:pPr>
        <w:spacing w:after="160"/>
      </w:pPr>
      <w:r>
        <w:rPr>
          <w:b/>
          <w:sz w:val="28"/>
        </w:rPr>
        <w:t xml:space="preserve">6. 培养目标</w:t>
      </w:r>
    </w:p>
    <w:p>
      <w:pPr>
        <w:spacing w:after="160"/>
      </w:pPr>
      <w:r>
        <w:t xml:space="preserve">本专业坚持立德树人，服务辽宁省产业发展，围绕数字建造与智慧施工，培养具有工程基础、技术实践、团队协作和持续学习能力的人才。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本次修订重点：结合BIM深化设计工程师、智慧工地管理工程师、结构健康监测工程师等岗位的任务和能力，完善专业实践、数字技术应用及综合问题解决能力培养。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预期发展：学生毕业后5年左右，能够综合工程知识与数字技术，在相关工程领域承担技术、协作和项目工作，持续提升专业胜任力。具体分目标由学校结合定位与行业调研确定。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【参考依据｜工程教育认证标准（2024版）（CEEAA 2024），3.1 / 4.2】</w:t>
      </w:r>
    </w:p>
    <w:p>
      <w:pPr>
        <w:spacing w:after="160"/>
      </w:pPr>
      <w:r>
        <w:t xml:space="preserve">培养目标应体现毕业后约5年的预期胜任力，结合校情与利益相关方需求定期修订。</w:t>
      </w:r>
    </w:p>
    <w:p>
      <w:pPr>
        <w:spacing w:after="160"/>
      </w:pPr>
      <w:r>
        <w:t xml:space="preserve">适用范围：全日制工程类本科；要点概述；认证适用性与专业补充标准需按专业确认。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校本修订：强化BIM协同交付项目，设置项目成果复核与团队评价。</w:t>
      </w:r>
    </w:p>
    <w:p>
      <w:pPr>
        <w:spacing w:after="160"/>
      </w:pPr>
      <w:r>
        <w:rPr>
          <w:b/>
          <w:sz w:val="28"/>
        </w:rPr>
        <w:t xml:space="preserve">7. 毕业要求</w:t>
      </w:r>
    </w:p>
    <w:p>
      <w:pPr>
        <w:spacing w:after="160"/>
      </w:pPr>
      <w:r>
        <w:t xml:space="preserve">认证导向框架（2024版；校本指标待细化）：</w:t>
      </w:r>
    </w:p>
    <w:p>
      <w:pPr>
        <w:spacing w:after="160"/>
      </w:pPr>
      <w:r>
        <w:t xml:space="preserve">GR1 工程知识</w:t>
      </w:r>
    </w:p>
    <w:p>
      <w:pPr>
        <w:spacing w:after="160"/>
      </w:pPr>
      <w:r>
        <w:t xml:space="preserve">GR2 问题分析</w:t>
      </w:r>
    </w:p>
    <w:p>
      <w:pPr>
        <w:spacing w:after="160"/>
      </w:pPr>
      <w:r>
        <w:t xml:space="preserve">GR3 设计/开发解决方案</w:t>
      </w:r>
    </w:p>
    <w:p>
      <w:pPr>
        <w:spacing w:after="160"/>
      </w:pPr>
      <w:r>
        <w:t xml:space="preserve">GR4 研究</w:t>
      </w:r>
    </w:p>
    <w:p>
      <w:pPr>
        <w:spacing w:after="160"/>
      </w:pPr>
      <w:r>
        <w:t xml:space="preserve">GR5 使用现代工具</w:t>
      </w:r>
    </w:p>
    <w:p>
      <w:pPr>
        <w:spacing w:after="160"/>
      </w:pPr>
      <w:r>
        <w:t xml:space="preserve">GR6 工程与可持续发展</w:t>
      </w:r>
    </w:p>
    <w:p>
      <w:pPr>
        <w:spacing w:after="160"/>
      </w:pPr>
      <w:r>
        <w:t xml:space="preserve">GR7 工程伦理和职业规范</w:t>
      </w:r>
    </w:p>
    <w:p>
      <w:pPr>
        <w:spacing w:after="160"/>
      </w:pPr>
      <w:r>
        <w:t xml:space="preserve">GR8 个人与团队</w:t>
      </w:r>
    </w:p>
    <w:p>
      <w:pPr>
        <w:spacing w:after="160"/>
      </w:pPr>
      <w:r>
        <w:t xml:space="preserve">GR9 沟通</w:t>
      </w:r>
    </w:p>
    <w:p>
      <w:pPr>
        <w:spacing w:after="160"/>
      </w:pPr>
      <w:r>
        <w:t xml:space="preserve">GR10 项目管理</w:t>
      </w:r>
    </w:p>
    <w:p>
      <w:pPr>
        <w:spacing w:after="160"/>
      </w:pPr>
      <w:r>
        <w:t xml:space="preserve">GR11 终身学习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岗位能力修订依据：</w:t>
      </w:r>
    </w:p>
    <w:p>
      <w:pPr>
        <w:spacing w:after="160"/>
      </w:pPr>
      <w:r>
        <w:t xml:space="preserve">BIM深化设计工程师：BIM模型应用与协同</w:t>
      </w:r>
    </w:p>
    <w:p>
      <w:pPr>
        <w:spacing w:after="160"/>
      </w:pPr>
      <w:r>
        <w:t xml:space="preserve">BIM深化设计工程师：智慧工地平台操作</w:t>
      </w:r>
    </w:p>
    <w:p>
      <w:pPr>
        <w:spacing w:after="160"/>
      </w:pPr>
      <w:r>
        <w:t xml:space="preserve">智慧工地管理工程师：BIM模型应用与协同</w:t>
      </w:r>
    </w:p>
    <w:p>
      <w:pPr>
        <w:spacing w:after="160"/>
      </w:pPr>
      <w:r>
        <w:t xml:space="preserve">智慧工地管理工程师：智慧工地平台操作</w:t>
      </w:r>
    </w:p>
    <w:p>
      <w:pPr>
        <w:spacing w:after="160"/>
      </w:pPr>
      <w:r>
        <w:t xml:space="preserve">结构健康监测工程师：BIM模型应用与协同</w:t>
      </w:r>
    </w:p>
    <w:p>
      <w:pPr>
        <w:spacing w:after="160"/>
      </w:pPr>
      <w:r>
        <w:t xml:space="preserve">结构健康监测工程师：智慧工地平台操作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【参考依据｜工程教育认证标准（2024版）（CEEAA 2024），4.3.1—4.3.11】</w:t>
      </w:r>
    </w:p>
    <w:p>
      <w:pPr>
        <w:spacing w:after="160"/>
      </w:pPr>
      <w:r>
        <w:t xml:space="preserve">毕业要求范围：工程知识、问题分析、设计/开发解决方案、研究、使用现代工具、工程与可持续发展、工程伦理和职业规范、个人与团队、沟通、项目管理、终身学习。</w:t>
      </w:r>
    </w:p>
    <w:p>
      <w:pPr>
        <w:spacing w:after="160"/>
      </w:pPr>
      <w:r>
        <w:t xml:space="preserve">适用范围：全日制工程类本科；校本指标应可衡量；框架覆盖不等于认证通过。</w:t>
      </w:r>
    </w:p>
    <w:p>
      <w:pPr>
        <w:spacing w:after="160"/>
      </w:pPr>
      <w:r>
        <w:rPr>
          <w:b/>
          <w:sz w:val="28"/>
        </w:rPr>
        <w:t xml:space="preserve">8. 课程体系</w:t>
      </w:r>
    </w:p>
    <w:p>
      <w:pPr>
        <w:spacing w:after="160"/>
      </w:pPr>
      <w:r>
        <w:t xml:space="preserve">本次纳入修订的教务课程（6门）：</w:t>
      </w:r>
    </w:p>
    <w:p>
      <w:pPr>
        <w:spacing w:after="160"/>
      </w:pPr>
      <w:r>
        <w:t xml:space="preserve">B261306　建筑信息模型基础　2学分　专业基础必修　第3学期</w:t>
      </w:r>
    </w:p>
    <w:p>
      <w:pPr>
        <w:spacing w:after="160"/>
      </w:pPr>
      <w:r>
        <w:t xml:space="preserve">B261313　智能检测与监测技术　3学分　专业核心必修　第5学期</w:t>
      </w:r>
    </w:p>
    <w:p>
      <w:pPr>
        <w:spacing w:after="160"/>
      </w:pPr>
      <w:r>
        <w:t xml:space="preserve">B261315　建筑信息模型应用　3学分　专业核心必修　第6学期</w:t>
      </w:r>
    </w:p>
    <w:p>
      <w:pPr>
        <w:spacing w:after="160"/>
      </w:pPr>
      <w:r>
        <w:t xml:space="preserve">B261317　工程项目智慧管理　3学分　专业核心必修　第6学期</w:t>
      </w:r>
    </w:p>
    <w:p>
      <w:pPr>
        <w:spacing w:after="160"/>
      </w:pPr>
      <w:r>
        <w:t xml:space="preserve">B261320　装配式深化设计协同与应用　2学分　专业拓展选修　第4学期</w:t>
      </w:r>
    </w:p>
    <w:p>
      <w:pPr>
        <w:spacing w:after="160"/>
      </w:pPr>
      <w:r>
        <w:t xml:space="preserve">B261324　5G与物联网在智慧工地应用　2学分　专业拓展选修　第4学期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课程的具体教学目标、内容与考核方式需由课程团队核对。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课程结构核对（2024版）：数学与自然科学类至少占总学分15%；工程实践与毕业设计至少20%。本次仅选取修订课程，不能据此判定全量结构符合要求。</w:t>
      </w:r>
    </w:p>
    <w:p>
      <w:pPr>
        <w:spacing w:after="160"/>
      </w:pPr>
      <w:r>
        <w:rPr>
          <w:b/>
          <w:sz w:val="28"/>
        </w:rPr>
        <w:t xml:space="preserve">9. 毕业要求支撑矩阵</w:t>
      </w:r>
    </w:p>
    <w:p>
      <w:pPr>
        <w:spacing w:after="160"/>
      </w:pPr>
      <w:r>
        <w:t xml:space="preserve">建立培养目标—毕业要求指标点—课程目标—考核证据的支撑表。当前已确认6条岗位与课程能力关系，作为课程修订输入。毕业要求支撑关系和评价证据需另行维护，不能用岗位关系覆盖率推定达成度。</w:t>
      </w:r>
    </w:p>
    <w:p>
      <w:pPr>
        <w:spacing w:after="160"/>
      </w:pPr>
      <w:r>
        <w:rPr>
          <w:b/>
          <w:sz w:val="28"/>
        </w:rPr>
        <w:t xml:space="preserve">10. 教学进程安排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当前所选6门课程，合计15学分。此为本次修订课程小计，完整毕业总学分按全量课程和学校规定核定。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第3学期　建筑信息模型基础　2学分　学时待补充</w:t>
      </w:r>
    </w:p>
    <w:p>
      <w:pPr>
        <w:spacing w:after="160"/>
      </w:pPr>
      <w:r>
        <w:t xml:space="preserve">第5学期　智能检测与监测技术　3学分　学时待补充</w:t>
      </w:r>
    </w:p>
    <w:p>
      <w:pPr>
        <w:spacing w:after="160"/>
      </w:pPr>
      <w:r>
        <w:t xml:space="preserve">第6学期　建筑信息模型应用　3学分　学时待补充</w:t>
      </w:r>
    </w:p>
    <w:p>
      <w:pPr>
        <w:spacing w:after="160"/>
      </w:pPr>
      <w:r>
        <w:t xml:space="preserve">第6学期　工程项目智慧管理　3学分　学时待补充</w:t>
      </w:r>
    </w:p>
    <w:p>
      <w:pPr>
        <w:spacing w:after="160"/>
      </w:pPr>
      <w:r>
        <w:t xml:space="preserve">第4学期　装配式深化设计协同与应用　2学分　学时待补充</w:t>
      </w:r>
    </w:p>
    <w:p>
      <w:pPr>
        <w:spacing w:after="160"/>
      </w:pPr>
      <w:r>
        <w:t xml:space="preserve">第4学期　5G与物联网在智慧工地应用　2学分　学时待补充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已确认6条岗位课程支撑关系，覆盖14/240项岗位能力。该数值是关系覆盖，不是学生学习达成度。</w:t>
      </w:r>
    </w:p>
    <w:p>
      <w:pPr>
        <w:spacing w:after="160"/>
      </w:pPr>
      <w:r>
        <w:rPr>
          <w:b/>
          <w:sz w:val="28"/>
        </w:rPr>
        <w:t xml:space="preserve">11. 师资队伍</w:t>
      </w:r>
    </w:p>
    <w:p>
      <w:pPr>
        <w:spacing w:after="160"/>
      </w:pPr>
      <w:r>
        <w:t xml:space="preserve">由学校补充专业负责人、专任教师、行业导师的实际配置，核对教学任务与教师专业背景，落实教师企业实践及教学能力提升安排。</w:t>
      </w:r>
    </w:p>
    <w:p>
      <w:pPr>
        <w:spacing w:after="160"/>
      </w:pPr>
      <w:r>
        <w:rPr>
          <w:b/>
          <w:sz w:val="28"/>
        </w:rPr>
        <w:t xml:space="preserve">12. 支持条件</w:t>
      </w:r>
    </w:p>
    <w:p>
      <w:pPr>
        <w:spacing w:after="160"/>
      </w:pPr>
      <w:r>
        <w:t xml:space="preserve">围绕所选岗位任务及课程，配置建模、智能施工、工程检测和数字管理等教学条件。具体场地、设备数量及校外实践基地由学校据实补充。</w:t>
      </w:r>
    </w:p>
    <w:p>
      <w:pPr>
        <w:spacing w:after="160"/>
      </w:pPr>
      <w:r>
        <w:rPr>
          <w:b/>
          <w:sz w:val="28"/>
        </w:rPr>
        <w:t xml:space="preserve">13. 评价与持续改进</w:t>
      </w:r>
    </w:p>
    <w:p>
      <w:pPr>
        <w:spacing w:after="160"/>
      </w:pPr>
      <w:r>
        <w:t xml:space="preserve">按课程目标、毕业要求和培养目标分别安排评价。记录评价周期、责任人、数据来源、评价结论、改进行动和再次验证结果。建立毕业生跟踪和校外评价反馈机制。实际评价结果待学校提供。</w:t>
      </w:r>
    </w:p>
    <w:p>
      <w:pPr>
        <w:spacing w:after="160"/>
      </w:pPr>
      <w:r>
        <w:rPr>
          <w:b/>
          <w:sz w:val="28"/>
        </w:rPr>
        <w:t xml:space="preserve">14. 毕业与学位授予</w:t>
      </w:r>
    </w:p>
    <w:p>
      <w:pPr>
        <w:spacing w:after="160"/>
      </w:pPr>
      <w:r>
        <w:t xml:space="preserve">学生须完成学校规定的课程、实践教学和毕业环节，满足学分及综合素质要求。学位授予条件依照学校学位授予规定执行。本稿中的课程小计不直接作为毕业总学分要求。</w:t>
      </w:r>
    </w:p>
    <w:p>
      <w:pPr>
        <w:spacing w:after="160"/>
      </w:pPr>
      <w:r>
        <w:rPr>
          <w:b/>
          <w:sz w:val="28"/>
        </w:rPr>
        <w:t xml:space="preserve">参考依据</w:t>
      </w:r>
    </w:p>
    <w:p>
      <w:pPr>
        <w:spacing w:after="160"/>
      </w:pPr>
      <w:r>
        <w:t xml:space="preserve">工程教育认证标准（2024版） · 3.1 / 4.2 · 全日制工程类本科</w:t>
      </w:r>
    </w:p>
    <w:p>
      <w:pPr>
        <w:spacing w:after="160"/>
      </w:pPr>
      <w:r>
        <w:t xml:space="preserve">https://www.ceeaa.org.cn/gcjyzyrzxh/xwdt/tzgg56/677023/2024120114575853318.pdf</w:t>
      </w:r>
    </w:p>
    <w:p>
      <w:pPr>
        <w:spacing w:after="160"/>
      </w:pPr>
      <w:r>
        <w:t xml:space="preserve">工程教育认证标准（2024版） · 4.3.1—4.3.11 · 全日制工程类本科</w:t>
      </w:r>
    </w:p>
    <w:p>
      <w:pPr>
        <w:spacing w:after="160"/>
      </w:pPr>
      <w:r>
        <w:t xml:space="preserve">https://www.ceeaa.org.cn/gcjyzyrzxh/xwdt/tzgg56/677023/2024120114575853318.pdf</w:t>
      </w:r>
    </w:p>
    <w:p>
      <w:pPr>
        <w:spacing w:after="160"/>
      </w:pPr>
      <w:r>
        <w:t xml:space="preserve">本文件为培养方案建议稿，具体要求以学校审定版本为准。</w:t>
      </w:r>
    </w:p>
    <w:sectPr>
      <w:pgSz w:w="11906" w:h="16838"/>
      <w:pgMar w:top="1440" w:right="1440" w:bottom="1440" w:left="1440"/>
    </w:sectPr>
  </w:body>
</w:document>
</file>