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微软雅黑"/>
          <w:b/>
          <w:color w:val="0B2545"/>
          <w:sz w:val="40"/>
        </w:rPr>
        <w:t>学堂在线智慧专业建设解决方案宣传册修改意见</w:t>
      </w:r>
    </w:p>
    <w:p>
      <w:pPr>
        <w:spacing w:after="240"/>
        <w:jc w:val="center"/>
      </w:pPr>
      <w:r>
        <w:rPr>
          <w:rFonts w:ascii="Microsoft YaHei" w:hAnsi="Microsoft YaHei" w:eastAsia="微软雅黑"/>
          <w:color w:val="4B5563"/>
          <w:sz w:val="22"/>
        </w:rPr>
        <w:t>围绕岗位分析、以岗定教、以岗定学与任务式教学的内容强化建议</w:t>
      </w:r>
    </w:p>
    <w:p>
      <w:pPr>
        <w:spacing w:before="280" w:after="140"/>
      </w:pPr>
      <w:r>
        <w:rPr>
          <w:rFonts w:ascii="Microsoft YaHei" w:hAnsi="Microsoft YaHei" w:eastAsia="微软雅黑"/>
          <w:b/>
          <w:color w:val="0B2545"/>
          <w:sz w:val="32"/>
        </w:rPr>
        <w:t>一、总体判断</w:t>
      </w:r>
    </w:p>
    <w:p>
      <w:pPr>
        <w:spacing w:before="0" w:after="120" w:line="276" w:lineRule="auto"/>
      </w:pPr>
      <w:r>
        <w:rPr>
          <w:rFonts w:ascii="Microsoft YaHei" w:hAnsi="Microsoft YaHei" w:eastAsia="微软雅黑"/>
          <w:b w:val="0"/>
          <w:color w:val="1F2937"/>
          <w:sz w:val="21"/>
        </w:rPr>
        <w:t>宣传册当前已经形成“AI赋能专业建设、培养方案管理、专业达成度、知识引擎、智慧教学应用”的基本叙事，但岗位相关内容更多停留在“招聘数据分析、岗位需求趋势、培养方案动态优化”的层面。若面向教学管理者和学院院长，建议把岗位分析进一步提升为智慧专业建设的主线之一：从岗位方向与典型任务出发，反向支撑培养目标、毕业要求、课程体系、学习任务、教学实施和达成评价。</w:t>
      </w:r>
    </w:p>
    <w:p>
      <w:pPr>
        <w:spacing w:before="0" w:after="120" w:line="276" w:lineRule="auto"/>
      </w:pPr>
      <w:r>
        <w:rPr>
          <w:rFonts w:ascii="Microsoft YaHei" w:hAnsi="Microsoft YaHei" w:eastAsia="微软雅黑"/>
          <w:b w:val="0"/>
          <w:color w:val="1F2937"/>
          <w:sz w:val="21"/>
        </w:rPr>
        <w:t>建议主线：</w:t>
      </w:r>
      <w:r>
        <w:rPr>
          <w:rFonts w:ascii="Microsoft YaHei" w:hAnsi="Microsoft YaHei" w:eastAsia="微软雅黑"/>
          <w:b w:val="0"/>
          <w:color w:val="1F2937"/>
          <w:sz w:val="21"/>
        </w:rPr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以岗定教：岗位能力要求进入课程设计、任务设计、教学资源建设和考核评价。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以岗定学：学生能够基于岗位方向理解课程链路、学习任务、能力差距和个性化学习路径。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任务式教学：把岗位典型任务转化为学习情境、学习任务、任务步骤和评价证据，形成从专业建设到课堂落地的闭环。</w:t>
      </w:r>
    </w:p>
    <w:p>
      <w:pPr>
        <w:spacing w:before="280" w:after="140"/>
      </w:pPr>
      <w:r>
        <w:rPr>
          <w:rFonts w:ascii="Microsoft YaHei" w:hAnsi="Microsoft YaHei" w:eastAsia="微软雅黑"/>
          <w:b/>
          <w:color w:val="0B2545"/>
          <w:sz w:val="32"/>
        </w:rPr>
        <w:t>二、背景色标级说明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2880"/>
        <w:gridCol w:w="3600"/>
      </w:tblGrid>
      <w:tr>
        <w:tc>
          <w:tcPr>
            <w:tcW w:type="dxa" w:w="25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标级</w:t>
            </w:r>
          </w:p>
        </w:tc>
        <w:tc>
          <w:tcPr>
            <w:tcW w:type="dxa" w:w="25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背景色</w:t>
            </w:r>
          </w:p>
        </w:tc>
        <w:tc>
          <w:tcPr>
            <w:tcW w:type="dxa" w:w="25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含义</w:t>
            </w:r>
          </w:p>
        </w:tc>
        <w:tc>
          <w:tcPr>
            <w:tcW w:type="dxa" w:w="25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处理建议</w:t>
            </w:r>
          </w:p>
        </w:tc>
      </w:tr>
      <w:tr>
        <w:tc>
          <w:tcPr>
            <w:tcW w:type="dxa" w:w="1584"/>
            <w:shd w:fill="FADBD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A级</w:t>
            </w:r>
          </w:p>
        </w:tc>
        <w:tc>
          <w:tcPr>
            <w:tcW w:type="dxa" w:w="2880"/>
            <w:shd w:fill="FADBD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FADBD8</w:t>
            </w:r>
          </w:p>
        </w:tc>
        <w:tc>
          <w:tcPr>
            <w:tcW w:type="dxa" w:w="2880"/>
            <w:shd w:fill="FADBD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必须强化</w:t>
            </w:r>
          </w:p>
        </w:tc>
        <w:tc>
          <w:tcPr>
            <w:tcW w:type="dxa" w:w="3600"/>
            <w:shd w:fill="FADBD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建议进入宣传册主文案或核心图示</w:t>
            </w:r>
          </w:p>
        </w:tc>
      </w:tr>
      <w:tr>
        <w:tc>
          <w:tcPr>
            <w:tcW w:type="dxa" w:w="1584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B级</w:t>
            </w:r>
          </w:p>
        </w:tc>
        <w:tc>
          <w:tcPr>
            <w:tcW w:type="dxa" w:w="2880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FFF2CC</w:t>
            </w:r>
          </w:p>
        </w:tc>
        <w:tc>
          <w:tcPr>
            <w:tcW w:type="dxa" w:w="2880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建议强化</w:t>
            </w:r>
          </w:p>
        </w:tc>
        <w:tc>
          <w:tcPr>
            <w:tcW w:type="dxa" w:w="3600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建议补充到对应页面文案或截图标注</w:t>
            </w:r>
          </w:p>
        </w:tc>
      </w:tr>
      <w:tr>
        <w:tc>
          <w:tcPr>
            <w:tcW w:type="dxa" w:w="1584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C级</w:t>
            </w:r>
          </w:p>
        </w:tc>
        <w:tc>
          <w:tcPr>
            <w:tcW w:type="dxa" w:w="2880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DDEBF7</w:t>
            </w:r>
          </w:p>
        </w:tc>
        <w:tc>
          <w:tcPr>
            <w:tcW w:type="dxa" w:w="2880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表达优化</w:t>
            </w:r>
          </w:p>
        </w:tc>
        <w:tc>
          <w:tcPr>
            <w:tcW w:type="dxa" w:w="3600"/>
            <w:shd w:fill="DDEB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建议作为措辞、标题或视觉表达优化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微软雅黑"/>
          <w:b/>
          <w:color w:val="0B2545"/>
          <w:sz w:val="32"/>
        </w:rPr>
        <w:t>三、逐页/逐模块修改建议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72"/>
        <w:gridCol w:w="2232"/>
        <w:gridCol w:w="3672"/>
        <w:gridCol w:w="3384"/>
      </w:tblGrid>
      <w:tr>
        <w:tc>
          <w:tcPr>
            <w:tcW w:type="dxa" w:w="2016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标级</w:t>
            </w:r>
          </w:p>
        </w:tc>
        <w:tc>
          <w:tcPr>
            <w:tcW w:type="dxa" w:w="2016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位置</w:t>
            </w:r>
          </w:p>
        </w:tc>
        <w:tc>
          <w:tcPr>
            <w:tcW w:type="dxa" w:w="2016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当前问题</w:t>
            </w:r>
          </w:p>
        </w:tc>
        <w:tc>
          <w:tcPr>
            <w:tcW w:type="dxa" w:w="2016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修改建议</w:t>
            </w:r>
          </w:p>
        </w:tc>
        <w:tc>
          <w:tcPr>
            <w:tcW w:type="dxa" w:w="2016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落地方式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P4 智慧专业解决的核心痛点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痛点二目前写“市场对接”，但未展开岗位能力如何进入教学。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将“人才培养市场对接问题”升级为“岗位能力与教学过程脱节问题”，强调岗位方向、典型岗位任务、能力要素与课程任务之间缺少结构化映射。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建议新增一句：不仅对接岗位需求，更要把岗位能力转化为课程目标、学习任务和评价证据。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P5 智慧专业整体业务架构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六层架构中岗位与任务没有形成显性层级，容易让岗位中心变成附属模块。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在架构图中补充“岗位能力模型/任务引擎”作为连接专业图谱、课程层和教学应用的关键枢纽。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建议图示增加链路：岗位方向库 → 典型岗位任务 → 能力要素 → 课程/任务/评价。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P6 智慧专业建设成果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成果清单缺少岗位模型与任务式教学成果，无法体现差异化竞争点。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在“智慧专业建设成果”中增加“岗位能力模型”“任务式教学体系”“岗位能力-课程支撑矩阵”。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建议作为独立成果模块展示，而不是只放在门户或培养方案里。</w:t>
            </w:r>
          </w:p>
        </w:tc>
      </w:tr>
      <w:tr>
        <w:tc>
          <w:tcPr>
            <w:tcW w:type="dxa" w:w="79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B级</w:t>
            </w:r>
          </w:p>
        </w:tc>
        <w:tc>
          <w:tcPr>
            <w:tcW w:type="dxa" w:w="187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P7 智慧专业展示门户</w:t>
            </w:r>
          </w:p>
        </w:tc>
        <w:tc>
          <w:tcPr>
            <w:tcW w:type="dxa" w:w="223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门户描述提到岗位中心，但未说明岗位中心对教师和学生的价值。</w:t>
            </w:r>
          </w:p>
        </w:tc>
        <w:tc>
          <w:tcPr>
            <w:tcW w:type="dxa" w:w="367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补充岗位中心展示岗位方向、典型任务、能力要求、对应课程和学习任务，让门户成为专业建设成果的统一入口。</w:t>
            </w:r>
          </w:p>
        </w:tc>
        <w:tc>
          <w:tcPr>
            <w:tcW w:type="dxa" w:w="3384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可在截图标注中突出“岗位能力图谱”“岗位任务链路”“课程支撑关系”。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P8 专业教育图谱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“岗位图谱”目前只是并列展示，缺少与知识、能力、素质、课程的支撑关系。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将“岗位图谱”改写为“岗位能力图谱”，强调岗位方向、典型任务、能力要素、知识点、课程和实践环节的关联。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建议标题可改为“专业教育图谱：从岗位能力到课程任务的全链路建模”。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P9 培养方案管理中心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当前强调“岗位需求—培养目标—毕业要求—支撑矩阵”，但没有讲清任务式落地。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补充培养方案可基于岗位能力模型自动形成课程支撑建议、学习任务建议和实践环节优化建议。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建议加入“岗位方向—毕业要求—课程模块—学习任务”闭环表达。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P13 人才培养方案智能化管理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文案中“行业岗位数据、技能模型库”偏数据源表述，不够像本科专业建设语言。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改为“岗位方向、岗位胜任能力、典型岗位任务与历史培养方案”，突出本科培养目标和毕业要求映射。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建议避免“技能模型库”单独出现，可替换为“岗位能力模型与任务体系”。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P15 专业人才岗位需求智能化分析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这一页是最适合强化岗位分析的页面，但目前只讲实时招聘数据和趋势。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建议升级为“专业岗位能力与典型任务智能分析”，展示岗位方向库、岗位画像、能力要素、典型岗位任务、学习型任务生成和课程匹配。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建议页面核心图从招聘趋势图升级为“岗位能力图谱+任务链路+课程支撑矩阵”。</w:t>
            </w:r>
          </w:p>
        </w:tc>
      </w:tr>
      <w:tr>
        <w:tc>
          <w:tcPr>
            <w:tcW w:type="dxa" w:w="79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B级</w:t>
            </w:r>
          </w:p>
        </w:tc>
        <w:tc>
          <w:tcPr>
            <w:tcW w:type="dxa" w:w="187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P16 专业课程体系与知识点智能分析与重构</w:t>
            </w:r>
          </w:p>
        </w:tc>
        <w:tc>
          <w:tcPr>
            <w:tcW w:type="dxa" w:w="223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当前只讲课程交叉分析和知识点重构，未体现课程为何调整。</w:t>
            </w:r>
          </w:p>
        </w:tc>
        <w:tc>
          <w:tcPr>
            <w:tcW w:type="dxa" w:w="367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加入“对照岗位能力模型识别课程体系已覆盖、弱覆盖、未覆盖能力点”，生成课程内容补强和任务设计建议。</w:t>
            </w:r>
          </w:p>
        </w:tc>
        <w:tc>
          <w:tcPr>
            <w:tcW w:type="dxa" w:w="3384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建议用“岗位能力覆盖率/学习任务覆盖率”作为分析指标。</w:t>
            </w:r>
          </w:p>
        </w:tc>
      </w:tr>
      <w:tr>
        <w:tc>
          <w:tcPr>
            <w:tcW w:type="dxa" w:w="79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B级</w:t>
            </w:r>
          </w:p>
        </w:tc>
        <w:tc>
          <w:tcPr>
            <w:tcW w:type="dxa" w:w="187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P17-P22 专业达成度智能分析</w:t>
            </w:r>
          </w:p>
        </w:tc>
        <w:tc>
          <w:tcPr>
            <w:tcW w:type="dxa" w:w="223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达成度模块与岗位能力之间的关系尚未出现。</w:t>
            </w:r>
          </w:p>
        </w:tc>
        <w:tc>
          <w:tcPr>
            <w:tcW w:type="dxa" w:w="367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补充“岗位能力达成画像”，把课程目标达成、毕业要求达成进一步映射到岗位能力达成。</w:t>
            </w:r>
          </w:p>
        </w:tc>
        <w:tc>
          <w:tcPr>
            <w:tcW w:type="dxa" w:w="3384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建议在雷达图或分析报告中增加“岗位能力维度”。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P27 智慧专业赋能教学应用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目前是“备课、教学、助学全过程数智赋能”，但没有体现任务式教学如何进入课堂。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增加“基于岗位能力的任务式教学”场景：教师将典型岗位任务转化为课堂任务、课程项目、综合实践任务或毕业设计选题。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建议把任务式教学作为教学应用的核心场景之一。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P28 雨课堂智慧专业助手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学生端已有“就业与岗位能力为牵引”，但还不够具体。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补充学生可查看岗位方向、能力要求、课程链路、学习任务和能力差距，并获得个性化学习路径。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建议体现“以岗定学”：学什么、为什么学、学到什么程度、还差什么。</w:t>
            </w:r>
          </w:p>
        </w:tc>
      </w:tr>
      <w:tr>
        <w:tc>
          <w:tcPr>
            <w:tcW w:type="dxa" w:w="79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B级</w:t>
            </w:r>
          </w:p>
        </w:tc>
        <w:tc>
          <w:tcPr>
            <w:tcW w:type="dxa" w:w="187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P29 智慧专业应用场景</w:t>
            </w:r>
          </w:p>
        </w:tc>
        <w:tc>
          <w:tcPr>
            <w:tcW w:type="dxa" w:w="223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四类场景偏宏观，缺少岗位驱动的角色化场景。</w:t>
            </w:r>
          </w:p>
        </w:tc>
        <w:tc>
          <w:tcPr>
            <w:tcW w:type="dxa" w:w="367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增加三类岗位驱动场景：专业负责人做岗位能力对标，教师做任务式教学设计，学生做岗位方向学习路径规划。</w:t>
            </w:r>
          </w:p>
        </w:tc>
        <w:tc>
          <w:tcPr>
            <w:tcW w:type="dxa" w:w="3384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建议把“服务认证、管理、教师、学生”下各加一条岗位能力场景。</w:t>
            </w:r>
          </w:p>
        </w:tc>
      </w:tr>
      <w:tr>
        <w:tc>
          <w:tcPr>
            <w:tcW w:type="dxa" w:w="79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A级</w:t>
            </w:r>
          </w:p>
        </w:tc>
        <w:tc>
          <w:tcPr>
            <w:tcW w:type="dxa" w:w="18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P30 智慧专业建设流程</w:t>
            </w:r>
          </w:p>
        </w:tc>
        <w:tc>
          <w:tcPr>
            <w:tcW w:type="dxa" w:w="223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建设流程未把岗位模型建设放在前置环节，容易导致后续课程和图谱缺少牵引。</w:t>
            </w:r>
          </w:p>
        </w:tc>
        <w:tc>
          <w:tcPr>
            <w:tcW w:type="dxa" w:w="3672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建议流程前段增加“岗位方向调研与岗位能力模型建设”，中段增加“典型岗位任务拆解与学习任务设计”，后段增加“岗位能力达成分析与持续改进”。</w:t>
            </w:r>
          </w:p>
        </w:tc>
        <w:tc>
          <w:tcPr>
            <w:tcW w:type="dxa" w:w="3384"/>
            <w:shd w:fill="FADBD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建议形成流程：专业调研 → 岗位模型 → 图谱/课程 → 任务式教学 → 达成评价 → 改进。</w:t>
            </w:r>
          </w:p>
        </w:tc>
      </w:tr>
      <w:tr>
        <w:tc>
          <w:tcPr>
            <w:tcW w:type="dxa" w:w="792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C级</w:t>
            </w:r>
          </w:p>
        </w:tc>
        <w:tc>
          <w:tcPr>
            <w:tcW w:type="dxa" w:w="1872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全册措辞</w:t>
            </w:r>
          </w:p>
        </w:tc>
        <w:tc>
          <w:tcPr>
            <w:tcW w:type="dxa" w:w="2232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部分表达容易滑向职业教育或单纯就业导向。</w:t>
            </w:r>
          </w:p>
        </w:tc>
        <w:tc>
          <w:tcPr>
            <w:tcW w:type="dxa" w:w="3672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面向本科宣传册，建议统一使用“岗位方向、岗位胜任能力、典型岗位任务、学习型任务、课程项目、综合实践、毕业要求”等表述。</w:t>
            </w:r>
          </w:p>
        </w:tc>
        <w:tc>
          <w:tcPr>
            <w:tcW w:type="dxa" w:w="3384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尽量少用“技能要求、行业标准资料、胜任要求、岗位适配”等词。</w:t>
            </w:r>
          </w:p>
        </w:tc>
      </w:tr>
      <w:tr>
        <w:tc>
          <w:tcPr>
            <w:tcW w:type="dxa" w:w="792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sz w:val="16"/>
              </w:rPr>
              <w:t>C级</w:t>
            </w:r>
          </w:p>
        </w:tc>
        <w:tc>
          <w:tcPr>
            <w:tcW w:type="dxa" w:w="1872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全册视觉</w:t>
            </w:r>
          </w:p>
        </w:tc>
        <w:tc>
          <w:tcPr>
            <w:tcW w:type="dxa" w:w="2232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目前多处写“替换正式截图”，但缺少对截图重点的说明。</w:t>
            </w:r>
          </w:p>
        </w:tc>
        <w:tc>
          <w:tcPr>
            <w:tcW w:type="dxa" w:w="3672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建议在截图上标注关键链路，不只展示界面：岗位能力图谱、课程支撑矩阵、学习任务拆解、学生能力画像。</w:t>
            </w:r>
          </w:p>
        </w:tc>
        <w:tc>
          <w:tcPr>
            <w:tcW w:type="dxa" w:w="3384"/>
            <w:shd w:fill="DDEBF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宣传册面向管理者，截图应服务于“看懂建设价值”。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微软雅黑"/>
          <w:b/>
          <w:color w:val="0B2545"/>
          <w:sz w:val="32"/>
        </w:rPr>
        <w:t>四、建议补充的核心叙事</w:t>
      </w:r>
    </w:p>
    <w:p>
      <w:pPr>
        <w:spacing w:after="120"/>
      </w:pPr>
      <w:r>
        <w:rPr>
          <w:rFonts w:ascii="Microsoft YaHei" w:hAnsi="Microsoft YaHei" w:eastAsia="微软雅黑"/>
          <w:b/>
          <w:color w:val="0B2545"/>
          <w:sz w:val="21"/>
        </w:rPr>
        <w:t>从“岗位需求分析”升级为“岗位能力模型建设”：</w:t>
      </w:r>
      <w:r>
        <w:rPr>
          <w:rFonts w:ascii="Microsoft YaHei" w:hAnsi="Microsoft YaHei" w:eastAsia="微软雅黑"/>
          <w:color w:val="1F2937"/>
          <w:sz w:val="21"/>
        </w:rPr>
        <w:t>宣传册不宜只讲招聘数据和趋势，应突出平台能够把岗位方向转化为专业建设对象，形成岗位画像、能力要素、典型岗位任务和课程支撑关系。</w:t>
      </w:r>
    </w:p>
    <w:p>
      <w:pPr>
        <w:spacing w:after="120"/>
      </w:pPr>
      <w:r>
        <w:rPr>
          <w:rFonts w:ascii="Microsoft YaHei" w:hAnsi="Microsoft YaHei" w:eastAsia="微软雅黑"/>
          <w:b/>
          <w:color w:val="0B2545"/>
          <w:sz w:val="21"/>
        </w:rPr>
        <w:t>从“培养方案动态优化”延伸到“课程与任务落地”：</w:t>
      </w:r>
      <w:r>
        <w:rPr>
          <w:rFonts w:ascii="Microsoft YaHei" w:hAnsi="Microsoft YaHei" w:eastAsia="微软雅黑"/>
          <w:color w:val="1F2937"/>
          <w:sz w:val="21"/>
        </w:rPr>
        <w:t>培养方案不是终点，应继续落到课程目标、课程项目、学习任务、资源配置与评价标准，体现专业建设真正进入教学现场。</w:t>
      </w:r>
    </w:p>
    <w:p>
      <w:pPr>
        <w:spacing w:after="120"/>
      </w:pPr>
      <w:r>
        <w:rPr>
          <w:rFonts w:ascii="Microsoft YaHei" w:hAnsi="Microsoft YaHei" w:eastAsia="微软雅黑"/>
          <w:b/>
          <w:color w:val="0B2545"/>
          <w:sz w:val="21"/>
        </w:rPr>
        <w:t>从“个性化学习路径”强化为“以岗定学”：</w:t>
      </w:r>
      <w:r>
        <w:rPr>
          <w:rFonts w:ascii="Microsoft YaHei" w:hAnsi="Microsoft YaHei" w:eastAsia="微软雅黑"/>
          <w:color w:val="1F2937"/>
          <w:sz w:val="21"/>
        </w:rPr>
        <w:t>学生不是泛泛地获得学习推荐，而是围绕目标岗位方向看到课程链路、任务要求、能力差距和补强路径。</w:t>
      </w:r>
    </w:p>
    <w:p>
      <w:pPr>
        <w:spacing w:after="120"/>
      </w:pPr>
      <w:r>
        <w:rPr>
          <w:rFonts w:ascii="Microsoft YaHei" w:hAnsi="Microsoft YaHei" w:eastAsia="微软雅黑"/>
          <w:b/>
          <w:color w:val="0B2545"/>
          <w:sz w:val="21"/>
        </w:rPr>
        <w:t>从“AI赋能教学”强化为“AI支撑任务式教学”：</w:t>
      </w:r>
      <w:r>
        <w:rPr>
          <w:rFonts w:ascii="Microsoft YaHei" w:hAnsi="Microsoft YaHei" w:eastAsia="微软雅黑"/>
          <w:color w:val="1F2937"/>
          <w:sz w:val="21"/>
        </w:rPr>
        <w:t>AI不仅生成内容，还应帮助教师将岗位典型任务拆解为学习情境、学习任务、步骤要求和评价指标。</w:t>
      </w:r>
    </w:p>
    <w:p>
      <w:pPr>
        <w:spacing w:before="280" w:after="140"/>
      </w:pPr>
      <w:r>
        <w:rPr>
          <w:rFonts w:ascii="Microsoft YaHei" w:hAnsi="Microsoft YaHei" w:eastAsia="微软雅黑"/>
          <w:b/>
          <w:color w:val="0B2545"/>
          <w:sz w:val="32"/>
        </w:rPr>
        <w:t>五、可直接替换/补充的文案示例</w:t>
      </w:r>
    </w:p>
    <w:p>
      <w:pPr>
        <w:spacing w:before="80" w:after="40"/>
      </w:pPr>
      <w:r>
        <w:rPr>
          <w:rFonts w:ascii="Microsoft YaHei" w:hAnsi="Microsoft YaHei" w:eastAsia="微软雅黑"/>
          <w:b/>
          <w:color w:val="1F4D78"/>
          <w:sz w:val="21"/>
        </w:rPr>
        <w:t>P4 痛点二建议文案</w:t>
      </w:r>
    </w:p>
    <w:p>
      <w:pPr>
        <w:spacing w:after="120"/>
        <w:ind w:left="259"/>
        <w:shd w:fill="EAF3F8"/>
      </w:pPr>
      <w:r>
        <w:rPr>
          <w:rFonts w:ascii="Microsoft YaHei" w:hAnsi="Microsoft YaHei" w:eastAsia="微软雅黑"/>
          <w:color w:val="111827"/>
          <w:sz w:val="20"/>
        </w:rPr>
        <w:t>解决岗位能力与教学过程脱节问题：系统围绕专业对应的岗位方向和岗位胜任能力，构建岗位能力模型与典型岗位任务体系，并将其映射到培养目标、毕业要求、课程体系、学习任务和评价证据，推动人才培养从“经验设计”走向“岗位能力牵引、任务过程支撑、数据持续改进”。</w:t>
      </w:r>
    </w:p>
    <w:p>
      <w:pPr>
        <w:spacing w:before="80" w:after="40"/>
      </w:pPr>
      <w:r>
        <w:rPr>
          <w:rFonts w:ascii="Microsoft YaHei" w:hAnsi="Microsoft YaHei" w:eastAsia="微软雅黑"/>
          <w:b/>
          <w:color w:val="1F4D78"/>
          <w:sz w:val="21"/>
        </w:rPr>
        <w:t>P15 页面标题建议</w:t>
      </w:r>
    </w:p>
    <w:p>
      <w:pPr>
        <w:spacing w:after="120"/>
        <w:ind w:left="259"/>
        <w:shd w:fill="EAF3F8"/>
      </w:pPr>
      <w:r>
        <w:rPr>
          <w:rFonts w:ascii="Microsoft YaHei" w:hAnsi="Microsoft YaHei" w:eastAsia="微软雅黑"/>
          <w:color w:val="111827"/>
          <w:sz w:val="20"/>
        </w:rPr>
        <w:t>专业岗位能力与典型任务智能分析</w:t>
      </w:r>
    </w:p>
    <w:p>
      <w:pPr>
        <w:spacing w:before="80" w:after="40"/>
      </w:pPr>
      <w:r>
        <w:rPr>
          <w:rFonts w:ascii="Microsoft YaHei" w:hAnsi="Microsoft YaHei" w:eastAsia="微软雅黑"/>
          <w:b/>
          <w:color w:val="1F4D78"/>
          <w:sz w:val="21"/>
        </w:rPr>
        <w:t>P15 页面正文建议</w:t>
      </w:r>
    </w:p>
    <w:p>
      <w:pPr>
        <w:spacing w:after="120"/>
        <w:ind w:left="259"/>
        <w:shd w:fill="EAF3F8"/>
      </w:pPr>
      <w:r>
        <w:rPr>
          <w:rFonts w:ascii="Microsoft YaHei" w:hAnsi="Microsoft YaHei" w:eastAsia="微软雅黑"/>
          <w:color w:val="111827"/>
          <w:sz w:val="20"/>
        </w:rPr>
        <w:t>基于行业趋势、岗位画像、校友就业和用人单位反馈等多源数据，智能构建岗位方向库和岗位能力图谱，自动提取典型岗位任务与能力要素，并与课程体系、知识图谱、学习任务和评价标准建立映射，为以岗定教和以岗定学提供数据支撑。</w:t>
      </w:r>
    </w:p>
    <w:p>
      <w:pPr>
        <w:spacing w:before="80" w:after="40"/>
      </w:pPr>
      <w:r>
        <w:rPr>
          <w:rFonts w:ascii="Microsoft YaHei" w:hAnsi="Microsoft YaHei" w:eastAsia="微软雅黑"/>
          <w:b/>
          <w:color w:val="1F4D78"/>
          <w:sz w:val="21"/>
        </w:rPr>
        <w:t>P27 教学应用建议文案</w:t>
      </w:r>
    </w:p>
    <w:p>
      <w:pPr>
        <w:spacing w:after="120"/>
        <w:ind w:left="259"/>
        <w:shd w:fill="EAF3F8"/>
      </w:pPr>
      <w:r>
        <w:rPr>
          <w:rFonts w:ascii="Microsoft YaHei" w:hAnsi="Microsoft YaHei" w:eastAsia="微软雅黑"/>
          <w:color w:val="111827"/>
          <w:sz w:val="20"/>
        </w:rPr>
        <w:t>教师可基于岗位能力模型开展任务式教学设计，将典型岗位任务转化为课程项目、课堂任务、综合实践任务和毕业设计选题，并配置任务步骤、学习资源、成果要求和评价指标，实现教学内容与岗位能力要求的精准衔接。</w:t>
      </w:r>
    </w:p>
    <w:p>
      <w:pPr>
        <w:spacing w:before="80" w:after="40"/>
      </w:pPr>
      <w:r>
        <w:rPr>
          <w:rFonts w:ascii="Microsoft YaHei" w:hAnsi="Microsoft YaHei" w:eastAsia="微软雅黑"/>
          <w:b/>
          <w:color w:val="1F4D78"/>
          <w:sz w:val="21"/>
        </w:rPr>
        <w:t>P28 学生端建议文案</w:t>
      </w:r>
    </w:p>
    <w:p>
      <w:pPr>
        <w:spacing w:after="120"/>
        <w:ind w:left="259"/>
        <w:shd w:fill="EAF3F8"/>
      </w:pPr>
      <w:r>
        <w:rPr>
          <w:rFonts w:ascii="Microsoft YaHei" w:hAnsi="Microsoft YaHei" w:eastAsia="微软雅黑"/>
          <w:color w:val="111827"/>
          <w:sz w:val="20"/>
        </w:rPr>
        <w:t>学生可围绕目标岗位方向查看能力要求、课程链路、学习任务和个人能力差距，系统根据课程学习、任务完成和能力达成情况推荐个性化学习路径，让学生清楚知道为什么学、学什么、学到什么程度。</w:t>
      </w:r>
    </w:p>
    <w:p>
      <w:pPr>
        <w:spacing w:before="80" w:after="40"/>
      </w:pPr>
      <w:r>
        <w:rPr>
          <w:rFonts w:ascii="Microsoft YaHei" w:hAnsi="Microsoft YaHei" w:eastAsia="微软雅黑"/>
          <w:b/>
          <w:color w:val="1F4D78"/>
          <w:sz w:val="21"/>
        </w:rPr>
        <w:t>P30 流程建议文案</w:t>
      </w:r>
    </w:p>
    <w:p>
      <w:pPr>
        <w:spacing w:after="120"/>
        <w:ind w:left="259"/>
        <w:shd w:fill="EAF3F8"/>
      </w:pPr>
      <w:r>
        <w:rPr>
          <w:rFonts w:ascii="Microsoft YaHei" w:hAnsi="Microsoft YaHei" w:eastAsia="微软雅黑"/>
          <w:color w:val="111827"/>
          <w:sz w:val="20"/>
        </w:rPr>
        <w:t>智慧专业建设流程建议调整为：专业需求调研—岗位方向与能力模型建设—专业图谱与课程体系映射—典型岗位任务拆解—任务式教学实施—岗位能力达成分析—培养方案持续优化。</w:t>
      </w:r>
    </w:p>
    <w:p>
      <w:pPr>
        <w:spacing w:before="280" w:after="140"/>
      </w:pPr>
      <w:r>
        <w:rPr>
          <w:rFonts w:ascii="Microsoft YaHei" w:hAnsi="Microsoft YaHei" w:eastAsia="微软雅黑"/>
          <w:b/>
          <w:color w:val="0B2545"/>
          <w:sz w:val="32"/>
        </w:rPr>
        <w:t>六、建议新增的示意图/截图标注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一张“岗位能力驱动智慧专业建设闭环图”：岗位方向库 → 岗位能力图谱 → 典型岗位任务 → 学习型任务 → 课程支撑矩阵 → 达成评价 → 培养方案优化。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一张“岗位能力图谱截图”：突出岗位方向、典型任务、能力要素、知识点、课程和实践环节的关联。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一张“任务式教学截图”：突出任务目标、任务步骤、资源绑定、成果提交、评价指标和学生任务画像。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一张“学生以岗定学路径图”：岗位目标、课程链路、学习任务、能力差距、推荐资源和达成进度。</w:t>
      </w:r>
    </w:p>
    <w:p>
      <w:pPr>
        <w:spacing w:before="280" w:after="140"/>
      </w:pPr>
      <w:r>
        <w:rPr>
          <w:rFonts w:ascii="Microsoft YaHei" w:hAnsi="Microsoft YaHei" w:eastAsia="微软雅黑"/>
          <w:b/>
          <w:color w:val="0B2545"/>
          <w:sz w:val="32"/>
        </w:rPr>
        <w:t>七、需要避免的表述风险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避免把岗位分析写成单纯招聘推荐或就业数据看板，否则会弱化本科专业建设价值。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避免出现明显职业教育语汇，如“行业标准资料”“技能要求”“岗位适配”“胜任要求”等；可替换为“岗位方向”“岗位胜任能力”“能力要素”“岗位画像”。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避免只讲 AI 生成，建议强调教师审核、专业负责人治理、课程负责人落地和学生学习路径应用。</w:t>
      </w:r>
    </w:p>
    <w:p>
      <w:pPr>
        <w:spacing w:before="0" w:after="120" w:line="276" w:lineRule="auto"/>
        <w:ind w:left="317" w:hanging="173"/>
      </w:pPr>
      <w:r>
        <w:rPr>
          <w:rFonts w:ascii="Microsoft YaHei" w:hAnsi="Microsoft YaHei" w:eastAsia="微软雅黑"/>
          <w:b w:val="0"/>
          <w:color w:val="1F2937"/>
          <w:sz w:val="20"/>
        </w:rPr>
        <w:t>• 避免“岗位—课程”一跳到底，建议中间补充“典型岗位任务/学习型任务”，这样更能体现任务式教学方法。</w:t>
      </w:r>
    </w:p>
    <w:p>
      <w:pPr>
        <w:spacing w:before="240"/>
      </w:pPr>
      <w:r>
        <w:rPr>
          <w:rFonts w:ascii="Microsoft YaHei" w:hAnsi="Microsoft YaHei" w:eastAsia="微软雅黑"/>
          <w:color w:val="6B7280"/>
          <w:sz w:val="17"/>
        </w:rPr>
        <w:t>参考依据：宣传册《学堂在线智慧专业建设解决方案-20260511》、建设方案《智慧专业参数文档-功能点（产品版）》及参数表《讯飞AI参数表参数偏离表（非定稿）_v3.0.5（2026.02.11）》中岗位建设、任务引擎、人智协同任务式教学相关内容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