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40"/>
        <w:jc w:val="center"/>
      </w:pPr>
      <w:r>
        <w:rPr>
          <w:rFonts w:ascii="Arial Unicode MS" w:hAnsi="Arial Unicode MS" w:eastAsia="Arial Unicode MS" w:cs="Arial Unicode MS"/>
          <w:b/>
          <w:color w:val="C9973A"/>
          <w:sz w:val="19"/>
        </w:rPr>
        <w:t>VISION CAREER DEVELOPMENT SYSTEM</w:t>
      </w:r>
    </w:p>
    <w:p>
      <w:pPr>
        <w:spacing w:after="200"/>
        <w:jc w:val="center"/>
      </w:pPr>
      <w:r>
        <w:rPr>
          <w:rFonts w:ascii="Arial Unicode MS" w:hAnsi="Arial Unicode MS" w:eastAsia="Arial Unicode MS" w:cs="Arial Unicode MS"/>
          <w:b/>
          <w:color w:val="2C6C62"/>
          <w:sz w:val="30"/>
        </w:rPr>
        <w:t>视界学伴</w:t>
      </w:r>
    </w:p>
    <w:p>
      <w:pPr>
        <w:pStyle w:val="Title"/>
        <w:jc w:val="center"/>
      </w:pPr>
      <w:r>
        <w:rPr>
          <w:rFonts w:ascii="Arial Unicode MS" w:hAnsi="Arial Unicode MS" w:eastAsia="Arial Unicode MS" w:cs="Arial Unicode MS"/>
          <w:b/>
          <w:color w:val="163F3A"/>
          <w:sz w:val="56"/>
        </w:rPr>
        <w:t>关键技术说明</w:t>
      </w:r>
    </w:p>
    <w:p>
      <w:pPr>
        <w:pStyle w:val="Subtitle"/>
        <w:jc w:val="center"/>
      </w:pPr>
      <w:r>
        <w:rPr>
          <w:rFonts w:ascii="Arial Unicode MS" w:hAnsi="Arial Unicode MS" w:eastAsia="Arial Unicode MS" w:cs="Arial Unicode MS"/>
          <w:color w:val="66747D"/>
          <w:sz w:val="26"/>
        </w:rPr>
        <w:t>计算机视觉岗位能力成长系统</w:t>
      </w:r>
    </w:p>
    <w:p>
      <w:pPr>
        <w:spacing w:before="320" w:after="1920"/>
        <w:jc w:val="center"/>
      </w:pPr>
      <w:r>
        <w:rPr>
          <w:rFonts w:ascii="Arial Unicode MS" w:hAnsi="Arial Unicode MS" w:eastAsia="Arial Unicode MS" w:cs="Arial Unicode MS"/>
          <w:b/>
          <w:color w:val="C9973A"/>
          <w:sz w:val="21"/>
        </w:rPr>
        <w:t>TECHNICAL DESCRIPTION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 Unicode MS" w:hAnsi="Arial Unicode MS" w:eastAsia="Arial Unicode MS" w:cs="Arial Unicode MS"/>
                <w:b/>
                <w:color w:val="2C6C62"/>
                <w:sz w:val="18"/>
              </w:rPr>
              <w:t>文档版本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V1.0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 Unicode MS" w:hAnsi="Arial Unicode MS" w:eastAsia="Arial Unicode MS" w:cs="Arial Unicode MS"/>
                <w:b/>
                <w:color w:val="2C6C62"/>
                <w:sz w:val="18"/>
              </w:rPr>
              <w:t>编制日期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2026年8月28日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 Unicode MS" w:hAnsi="Arial Unicode MS" w:eastAsia="Arial Unicode MS" w:cs="Arial Unicode MS"/>
                <w:b/>
                <w:color w:val="2C6C62"/>
                <w:sz w:val="18"/>
              </w:rPr>
              <w:t>适用范围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系统建设、交付与使用说明</w:t>
            </w:r>
          </w:p>
        </w:tc>
      </w:tr>
    </w:tbl>
    <w:p>
      <w:r>
        <w:br w:type="page"/>
      </w:r>
    </w:p>
    <w:p>
      <w:pPr>
        <w:pStyle w:val="Heading1"/>
      </w:pPr>
      <w:r>
        <w:t>文档目录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3F7F5"/>
          <w:left w:val="single" w:sz="0" w:space="0" w:color="F3F7F5"/>
          <w:bottom w:val="single" w:sz="0" w:space="0" w:color="F3F7F5"/>
          <w:right w:val="single" w:sz="0" w:space="0" w:color="F3F7F5"/>
          <w:insideH w:val="single" w:sz="0" w:space="0" w:color="F3F7F5"/>
          <w:insideV w:val="single" w:sz="0" w:space="0" w:color="F3F7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3F7F5"/>
          </w:tcPr>
          <w:p>
            <w:pPr>
              <w:spacing w:after="60"/>
            </w:pPr>
            <w:r>
              <w:rPr>
                <w:rFonts w:ascii="Arial Unicode MS" w:hAnsi="Arial Unicode MS" w:eastAsia="Arial Unicode MS" w:cs="Arial Unicode MS"/>
                <w:b/>
                <w:color w:val="2C6C62"/>
                <w:sz w:val="19"/>
              </w:rPr>
              <w:t>阅读提示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24313A"/>
                <w:sz w:val="20"/>
              </w:rPr>
              <w:t>本文档采用“结论先行、分层展开”的结构。各章节可独立查阅，也可按目录顺序完整阅读。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编制目的与技术定位</w:t>
      </w:r>
    </w:p>
    <w:p>
      <w:pPr>
        <w:numPr>
          <w:ilvl w:val="0"/>
          <w:numId w:val="10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总体技术架构</w:t>
      </w:r>
    </w:p>
    <w:p>
      <w:pPr>
        <w:numPr>
          <w:ilvl w:val="0"/>
          <w:numId w:val="10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多源岗位资料解析技术</w:t>
      </w:r>
    </w:p>
    <w:p>
      <w:pPr>
        <w:numPr>
          <w:ilvl w:val="0"/>
          <w:numId w:val="10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岗位能力图谱建模技术</w:t>
      </w:r>
    </w:p>
    <w:p>
      <w:pPr>
        <w:numPr>
          <w:ilvl w:val="0"/>
          <w:numId w:val="10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岗位任务到理实一体课程的转化</w:t>
      </w:r>
    </w:p>
    <w:p>
      <w:pPr>
        <w:numPr>
          <w:ilvl w:val="0"/>
          <w:numId w:val="10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多模态学习与智能助教</w:t>
      </w:r>
    </w:p>
    <w:p>
      <w:pPr>
        <w:numPr>
          <w:ilvl w:val="0"/>
          <w:numId w:val="10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多角色智能体协同实训</w:t>
      </w:r>
    </w:p>
    <w:p>
      <w:pPr>
        <w:numPr>
          <w:ilvl w:val="0"/>
          <w:numId w:val="10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自适应面试与薄弱点诊断</w:t>
      </w:r>
    </w:p>
    <w:p>
      <w:pPr>
        <w:numPr>
          <w:ilvl w:val="0"/>
          <w:numId w:val="10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学习证据与成长状态计算</w:t>
      </w:r>
    </w:p>
    <w:p>
      <w:pPr>
        <w:numPr>
          <w:ilvl w:val="0"/>
          <w:numId w:val="10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数据管理、离线交付与安全边界</w:t>
      </w:r>
    </w:p>
    <w:p>
      <w:pPr>
        <w:numPr>
          <w:ilvl w:val="0"/>
          <w:numId w:val="10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工程质量与扩展接口</w:t>
      </w:r>
    </w:p>
    <w:p>
      <w:pPr>
        <w:numPr>
          <w:ilvl w:val="0"/>
          <w:numId w:val="10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当前版本技术指标</w:t>
      </w:r>
    </w:p>
    <w:p>
      <w:r>
        <w:br w:type="page"/>
      </w:r>
    </w:p>
    <w:p>
      <w:pPr>
        <w:pStyle w:val="Heading1"/>
      </w:pPr>
      <w:r>
        <w:t>一、编制目的与技术定位</w:t>
      </w:r>
    </w:p>
    <w:p>
      <w:pPr>
        <w:spacing w:after="120" w:line="264" w:lineRule="auto"/>
        <w:jc w:val="left"/>
      </w:pPr>
      <w:r>
        <w:rPr>
          <w:rFonts w:ascii="Arial Unicode MS" w:hAnsi="Arial Unicode MS" w:eastAsia="Arial Unicode MS" w:cs="Arial Unicode MS"/>
          <w:color w:val="24313A"/>
        </w:rPr>
        <w:t>本文档说明视界学伴的总体技术架构、关键业务算法、数据组织方式、离线运行机制及工程边界，供系统建设、技术评审、部署交付和后续扩展使用。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3F7F5"/>
          <w:left w:val="single" w:sz="0" w:space="0" w:color="F3F7F5"/>
          <w:bottom w:val="single" w:sz="0" w:space="0" w:color="F3F7F5"/>
          <w:right w:val="single" w:sz="0" w:space="0" w:color="F3F7F5"/>
          <w:insideH w:val="single" w:sz="0" w:space="0" w:color="F3F7F5"/>
          <w:insideV w:val="single" w:sz="0" w:space="0" w:color="F3F7F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3F7F5"/>
          </w:tcPr>
          <w:p>
            <w:pPr>
              <w:spacing w:after="60"/>
            </w:pPr>
            <w:r>
              <w:rPr>
                <w:rFonts w:ascii="Arial Unicode MS" w:hAnsi="Arial Unicode MS" w:eastAsia="Arial Unicode MS" w:cs="Arial Unicode MS"/>
                <w:b/>
                <w:color w:val="2C6C62"/>
                <w:sz w:val="19"/>
              </w:rPr>
              <w:t>技术定位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24313A"/>
                <w:sz w:val="20"/>
              </w:rPr>
              <w:t>系统以岗位能力成长为主线，将多源岗位资料、能力图谱、理实一体学习、项目实训、模拟面试和成长档案组织为统一闭环。当前交付版本采用前端本地化运行方式，重点验证业务流程、领域模型与人机协作机制。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岗位驱动：先识别岗位及典型工作任务，再生成课程与评价活动。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证据驱动：阅读、检测、实训和面试分别形成不同效力等级的学习证据。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可追溯：职业、岗位、任务、能力单元、能力点和课程资源之间保留明确关系。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可离线：核心页面、教材图片、业务数据与交互逻辑可封装为单文件运行。</w:t>
      </w:r>
    </w:p>
    <w:p>
      <w:pPr>
        <w:pStyle w:val="Heading1"/>
      </w:pPr>
      <w:r>
        <w:t>二、总体技术架构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4000500"/>
            <wp:docPr id="1" name="Picture 1" descr="视界学伴五层总体技术架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 Unicode MS" w:hAnsi="Arial Unicode MS" w:eastAsia="Arial Unicode MS" w:cs="Arial Unicode MS"/>
          <w:color w:val="66747D"/>
          <w:sz w:val="18"/>
        </w:rPr>
        <w:t>图 1  视界学伴总体技术架构</w:t>
      </w:r>
    </w:p>
    <w:p>
      <w:pPr>
        <w:spacing w:after="120" w:line="264" w:lineRule="auto"/>
        <w:jc w:val="left"/>
      </w:pPr>
      <w:r>
        <w:rPr>
          <w:rFonts w:ascii="Arial Unicode MS" w:hAnsi="Arial Unicode MS" w:eastAsia="Arial Unicode MS" w:cs="Arial Unicode MS"/>
          <w:color w:val="24313A"/>
        </w:rPr>
        <w:t>系统采用分层前端架构。交互呈现层负责六类业务入口；业务编排层负责生命周期、意图、任务与评价流程；领域模型层沉淀岗位能力关系和学习证据；数据资源层承载标准、教材、岗位与案例；运行交付层提供类型校验、构建与离线封装能力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E1DE"/>
          <w:left w:val="single" w:sz="6" w:space="0" w:color="D8E1DE"/>
          <w:bottom w:val="single" w:sz="6" w:space="0" w:color="D8E1DE"/>
          <w:right w:val="single" w:sz="6" w:space="0" w:color="D8E1DE"/>
          <w:insideH w:val="single" w:sz="6" w:space="0" w:color="D8E1DE"/>
          <w:insideV w:val="single" w:sz="6" w:space="0" w:color="D8E1DE"/>
        </w:tblBorders>
      </w:tblPr>
      <w:tblGrid>
        <w:gridCol w:w="1500"/>
        <w:gridCol w:w="2100"/>
        <w:gridCol w:w="3060"/>
        <w:gridCol w:w="270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63F3A"/>
                <w:sz w:val="18"/>
              </w:rPr>
              <w:t>技术域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63F3A"/>
                <w:sz w:val="18"/>
              </w:rPr>
              <w:t>主要实现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63F3A"/>
                <w:sz w:val="18"/>
              </w:rPr>
              <w:t>承担职责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63F3A"/>
                <w:sz w:val="18"/>
              </w:rPr>
              <w:t>技术价值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前端框架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Vue 3 组合式 API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组件化页面与响应式状态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支撑复杂工作台的独立演进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开发语言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TypeScript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领域类型、接口和状态约束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减少跨模块数据漂移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构建工具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Vite + vue-tsc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开发服务、类型检查与生产构建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兼顾开发效率与交付稳定性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图形呈现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关系画布与 ECharts 能力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岗位图谱、路径与数据可视化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强化多层关系理解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状态持久化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浏览器 localStorage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保存学习记录、分析状态和用户记忆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无需后端即可恢复会话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测试体系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Vitest + jsdom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领域算法、组件交互和离线入口校验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形成可重复验证的工程基线</w:t>
            </w:r>
          </w:p>
        </w:tc>
      </w:tr>
    </w:tbl>
    <w:p>
      <w:pPr>
        <w:spacing w:after="40"/>
      </w:pPr>
    </w:p>
    <w:p>
      <w:pPr>
        <w:pStyle w:val="Heading1"/>
      </w:pPr>
      <w:r>
        <w:t>三、多源岗位资料解析技术</w:t>
      </w:r>
    </w:p>
    <w:p>
      <w:pPr>
        <w:spacing w:after="120" w:line="264" w:lineRule="auto"/>
        <w:jc w:val="left"/>
      </w:pPr>
      <w:r>
        <w:rPr>
          <w:rFonts w:ascii="Arial Unicode MS" w:hAnsi="Arial Unicode MS" w:eastAsia="Arial Unicode MS" w:cs="Arial Unicode MS"/>
          <w:color w:val="24313A"/>
        </w:rPr>
        <w:t>岗位分析工作台将教材、职业标准、行业分析报告和岗位说明材料作为可配置输入，并与内置产业、专业和招聘数据交叉归纳。解析过程采用八步可视化管线，使岗位结构的形成过程对使用者可见。</w:t>
      </w:r>
    </w:p>
    <w:p>
      <w:pPr>
        <w:numPr>
          <w:ilvl w:val="0"/>
          <w:numId w:val="11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读取教材与职业标准，校验资料类型、版本和来源标记。</w:t>
      </w:r>
    </w:p>
    <w:p>
      <w:pPr>
        <w:numPr>
          <w:ilvl w:val="0"/>
          <w:numId w:val="11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获取招聘岗位样本，载入岗位职责、技能和任职要求。</w:t>
      </w:r>
    </w:p>
    <w:p>
      <w:pPr>
        <w:numPr>
          <w:ilvl w:val="0"/>
          <w:numId w:val="11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识别岗位工作领域，归纳需求、数据、模型、部署和交付领域。</w:t>
      </w:r>
    </w:p>
    <w:p>
      <w:pPr>
        <w:numPr>
          <w:ilvl w:val="0"/>
          <w:numId w:val="11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提取典型工作任务，形成任务名称、步骤、产出和质量要求。</w:t>
      </w:r>
    </w:p>
    <w:p>
      <w:pPr>
        <w:numPr>
          <w:ilvl w:val="0"/>
          <w:numId w:val="11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拆解岗位能力单元，建立任务与能力单元映射。</w:t>
      </w:r>
    </w:p>
    <w:p>
      <w:pPr>
        <w:numPr>
          <w:ilvl w:val="0"/>
          <w:numId w:val="11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提取知识、技能与职业素养能力点。</w:t>
      </w:r>
    </w:p>
    <w:p>
      <w:pPr>
        <w:numPr>
          <w:ilvl w:val="0"/>
          <w:numId w:val="11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建立任务和能力点的前驱后继关系。</w:t>
      </w:r>
    </w:p>
    <w:p>
      <w:pPr>
        <w:numPr>
          <w:ilvl w:val="0"/>
          <w:numId w:val="11"/>
        </w:numPr>
        <w:spacing w:after="100" w:line="276" w:lineRule="auto"/>
        <w:ind w:left="720" w:hanging="360"/>
      </w:pPr>
      <w:r>
        <w:rPr>
          <w:rFonts w:ascii="Arial Unicode MS" w:hAnsi="Arial Unicode MS" w:eastAsia="Arial Unicode MS" w:cs="Arial Unicode MS"/>
          <w:color w:val="24313A"/>
        </w:rPr>
        <w:t>组装岗位能力图谱，并附带来源和版本说明。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BF3E3"/>
          <w:left w:val="single" w:sz="0" w:space="0" w:color="FBF3E3"/>
          <w:bottom w:val="single" w:sz="0" w:space="0" w:color="FBF3E3"/>
          <w:right w:val="single" w:sz="0" w:space="0" w:color="FBF3E3"/>
          <w:insideH w:val="single" w:sz="0" w:space="0" w:color="FBF3E3"/>
          <w:insideV w:val="single" w:sz="0" w:space="0" w:color="FBF3E3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BF3E3"/>
          </w:tcPr>
          <w:p>
            <w:pPr>
              <w:spacing w:after="60"/>
            </w:pPr>
            <w:r>
              <w:rPr>
                <w:rFonts w:ascii="Arial Unicode MS" w:hAnsi="Arial Unicode MS" w:eastAsia="Arial Unicode MS" w:cs="Arial Unicode MS"/>
                <w:b/>
                <w:color w:val="C9973A"/>
                <w:sz w:val="19"/>
              </w:rPr>
              <w:t>可解释设计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24313A"/>
                <w:sz w:val="20"/>
              </w:rPr>
              <w:t>系统不直接展示一个无法复核的综合结论，而是同步呈现数据来源、处理阶段、结构数量和生成进度，使岗位分析过程具备可观察性。</w:t>
            </w:r>
          </w:p>
        </w:tc>
      </w:tr>
    </w:tbl>
    <w:p>
      <w:pPr>
        <w:spacing w:after="40"/>
      </w:pPr>
    </w:p>
    <w:p>
      <w:pPr>
        <w:pStyle w:val="Heading1"/>
      </w:pPr>
      <w:r>
        <w:t>四、岗位能力图谱建模技术</w:t>
      </w:r>
    </w:p>
    <w:p>
      <w:pPr>
        <w:spacing w:after="120" w:line="264" w:lineRule="auto"/>
        <w:jc w:val="left"/>
      </w:pPr>
      <w:r>
        <w:rPr>
          <w:rFonts w:ascii="Arial Unicode MS" w:hAnsi="Arial Unicode MS" w:eastAsia="Arial Unicode MS" w:cs="Arial Unicode MS"/>
          <w:color w:val="24313A"/>
        </w:rPr>
        <w:t>岗位能力图谱采用“正式职业—职业方向—岗位—典型工作任务—能力单元—能力点”的层次模型。能力点进一步区分知识、技能和职业素养，并通过前驱后继关系连接学习顺序。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E1DE"/>
          <w:left w:val="single" w:sz="6" w:space="0" w:color="D8E1DE"/>
          <w:bottom w:val="single" w:sz="6" w:space="0" w:color="D8E1DE"/>
          <w:right w:val="single" w:sz="6" w:space="0" w:color="D8E1DE"/>
          <w:insideH w:val="single" w:sz="6" w:space="0" w:color="D8E1DE"/>
          <w:insideV w:val="single" w:sz="6" w:space="0" w:color="D8E1DE"/>
        </w:tblBorders>
      </w:tblPr>
      <w:tblGrid>
        <w:gridCol w:w="1500"/>
        <w:gridCol w:w="2760"/>
        <w:gridCol w:w="2520"/>
        <w:gridCol w:w="258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63F3A"/>
                <w:sz w:val="18"/>
              </w:rPr>
              <w:t>层级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63F3A"/>
                <w:sz w:val="18"/>
              </w:rPr>
              <w:t>对象说明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63F3A"/>
                <w:sz w:val="18"/>
              </w:rPr>
              <w:t>典型属性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63F3A"/>
                <w:sz w:val="18"/>
              </w:rPr>
              <w:t>主要关系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正式职业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国家职业分类中的规范职业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职业名称、目录编码、版本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包含职业方向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职业方向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职业标准中的专业方向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方向名称、标准锚点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对应目标岗位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典型工作任务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岗位中可交付、可评价的任务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步骤、产出、质量要求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拆解能力单元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能力单元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完成任务所需的能力集合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所属等级、任务归属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聚合能力点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能力点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可学习、可观察、可验证的能力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类型、描述、课程目标</w:t>
            </w:r>
          </w:p>
        </w:tc>
        <w:tc>
          <w:tcPr>
            <w:tcW w:type="dxa" w:w="25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依赖前置、关联证据</w:t>
            </w:r>
          </w:p>
        </w:tc>
      </w:tr>
    </w:tbl>
    <w:p>
      <w:pPr>
        <w:spacing w:after="40"/>
      </w:pPr>
    </w:p>
    <w:p>
      <w:pPr>
        <w:spacing w:after="120" w:line="264" w:lineRule="auto"/>
        <w:jc w:val="left"/>
      </w:pPr>
      <w:r>
        <w:rPr>
          <w:rFonts w:ascii="Arial Unicode MS" w:hAnsi="Arial Unicode MS" w:eastAsia="Arial Unicode MS" w:cs="Arial Unicode MS"/>
          <w:color w:val="24313A"/>
        </w:rPr>
        <w:t>图谱视图支持等级筛选、节点搜索、缩放、全量关系查看和节点详情检查。课程资源仅作为能力点的关联资源，不混入图谱层级，避免岗位标准结构与教学资源结构相互替代。</w:t>
      </w:r>
    </w:p>
    <w:p>
      <w:pPr>
        <w:pStyle w:val="Heading1"/>
      </w:pPr>
      <w:r>
        <w:t>五、岗位任务到理实一体课程的转化</w:t>
      </w:r>
    </w:p>
    <w:p>
      <w:pPr>
        <w:spacing w:after="120" w:line="264" w:lineRule="auto"/>
        <w:jc w:val="left"/>
      </w:pPr>
      <w:r>
        <w:rPr>
          <w:rFonts w:ascii="Arial Unicode MS" w:hAnsi="Arial Unicode MS" w:eastAsia="Arial Unicode MS" w:cs="Arial Unicode MS"/>
          <w:color w:val="24313A"/>
        </w:rPr>
        <w:t>系统将企业岗位任务转化为学习型工作任务，而不是直接把岗位职责复制为课程章节。转化过程依次生成学习目标、学习阶段、课程资源、实训情境、成果要求和评价证据。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输入：典型工作任务、能力点、任务依赖、教材资源和实训案例。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处理：知识、技能、素养目标拆解；理论与实践阶段编排；资源挂载。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输出：学习型工作任务、前置与后继任务、课程页、实训项目和评价要求。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门控：岗位分析完成后方可生成学习任务；未生成课程时不展示派生学习结果。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1778000"/>
            <wp:docPr id="2" name="Picture 2" descr="岗位资料到成长反馈的五阶段闭环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 Unicode MS" w:hAnsi="Arial Unicode MS" w:eastAsia="Arial Unicode MS" w:cs="Arial Unicode MS"/>
          <w:color w:val="66747D"/>
          <w:sz w:val="18"/>
        </w:rPr>
        <w:t>图 2  岗位能力成长闭环</w:t>
      </w:r>
    </w:p>
    <w:p>
      <w:pPr>
        <w:pStyle w:val="Heading1"/>
      </w:pPr>
      <w:r>
        <w:t>六、多模态学习与智能助教</w:t>
      </w:r>
    </w:p>
    <w:p>
      <w:pPr>
        <w:spacing w:after="120" w:line="264" w:lineRule="auto"/>
        <w:jc w:val="left"/>
      </w:pPr>
      <w:r>
        <w:rPr>
          <w:rFonts w:ascii="Arial Unicode MS" w:hAnsi="Arial Unicode MS" w:eastAsia="Arial Unicode MS" w:cs="Arial Unicode MS"/>
          <w:color w:val="24313A"/>
        </w:rPr>
        <w:t>学习中心以真实教材原页为主体，配套章节目录、阅读进度、缩放控制、伴读提要、章节检测和页边笔记。教材图片、文字锚点、岗位能力和学习记录共同构成助教上下文。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E1DE"/>
          <w:left w:val="single" w:sz="6" w:space="0" w:color="D8E1DE"/>
          <w:bottom w:val="single" w:sz="6" w:space="0" w:color="D8E1DE"/>
          <w:right w:val="single" w:sz="6" w:space="0" w:color="D8E1DE"/>
          <w:insideH w:val="single" w:sz="6" w:space="0" w:color="D8E1DE"/>
          <w:insideV w:val="single" w:sz="6" w:space="0" w:color="D8E1DE"/>
        </w:tblBorders>
      </w:tblPr>
      <w:tblGrid>
        <w:gridCol w:w="1560"/>
        <w:gridCol w:w="2520"/>
        <w:gridCol w:w="3300"/>
        <w:gridCol w:w="1980"/>
      </w:tblGrid>
      <w:tr>
        <w:trPr>
          <w:tblHeader w:val="true"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63F3A"/>
                <w:sz w:val="18"/>
              </w:rPr>
              <w:t>交互形态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63F3A"/>
                <w:sz w:val="18"/>
              </w:rPr>
              <w:t>输入上下文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63F3A"/>
                <w:sz w:val="18"/>
              </w:rPr>
              <w:t>系统输出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63F3A"/>
                <w:sz w:val="18"/>
              </w:rPr>
              <w:t>证据效力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教材原页伴读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当前页、章节、阅读锚点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概念解释、岗位案例、启发式问题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记录为学习中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章节检测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题目、答案、作答用时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结果反馈与针对性学习陪伴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通过后进入待验证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岗位关联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当前教材页与能力映射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流式解析过程和能力卡片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提供关系依据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学习路径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目标能力、前置关系、已有证据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待学习前置、目标及后继能力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驱动后续学习</w:t>
            </w:r>
          </w:p>
        </w:tc>
      </w:tr>
    </w:tbl>
    <w:p>
      <w:pPr>
        <w:spacing w:after="40"/>
      </w:pPr>
    </w:p>
    <w:p>
      <w:pPr>
        <w:spacing w:after="120" w:line="264" w:lineRule="auto"/>
        <w:jc w:val="left"/>
      </w:pPr>
      <w:r>
        <w:rPr>
          <w:rFonts w:ascii="Arial Unicode MS" w:hAnsi="Arial Unicode MS" w:eastAsia="Arial Unicode MS" w:cs="Arial Unicode MS"/>
          <w:color w:val="24313A"/>
        </w:rPr>
        <w:t>当前助教回复采用本地规则、结构化映射和逐字流式呈现机制，能够展示上下文感知与交互闭环；未调用外部在线模型服务。</w:t>
      </w:r>
    </w:p>
    <w:p>
      <w:pPr>
        <w:pStyle w:val="Heading1"/>
      </w:pPr>
      <w:r>
        <w:t>七、多角色智能体协同实训</w:t>
      </w:r>
    </w:p>
    <w:p>
      <w:pPr>
        <w:spacing w:after="120" w:line="264" w:lineRule="auto"/>
        <w:jc w:val="left"/>
      </w:pPr>
      <w:r>
        <w:rPr>
          <w:rFonts w:ascii="Arial Unicode MS" w:hAnsi="Arial Unicode MS" w:eastAsia="Arial Unicode MS" w:cs="Arial Unicode MS"/>
          <w:color w:val="24313A"/>
        </w:rPr>
        <w:t>实训项目将工作过程划分为需求分析、数据处理、算法开发、测试验证和部署交付五类角色。学生选择一个主责角色，其余角色由协同智能体承担，并保留查看、退回、重做、批准和合并等协作动作。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E1DE"/>
          <w:left w:val="single" w:sz="6" w:space="0" w:color="D8E1DE"/>
          <w:bottom w:val="single" w:sz="6" w:space="0" w:color="D8E1DE"/>
          <w:right w:val="single" w:sz="6" w:space="0" w:color="D8E1DE"/>
          <w:insideH w:val="single" w:sz="6" w:space="0" w:color="D8E1DE"/>
          <w:insideV w:val="single" w:sz="6" w:space="0" w:color="D8E1DE"/>
        </w:tblBorders>
      </w:tblPr>
      <w:tblGrid>
        <w:gridCol w:w="1800"/>
        <w:gridCol w:w="4860"/>
        <w:gridCol w:w="27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63F3A"/>
                <w:sz w:val="18"/>
              </w:rPr>
              <w:t>角色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63F3A"/>
                <w:sz w:val="18"/>
              </w:rPr>
              <w:t>核心任务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63F3A"/>
                <w:sz w:val="18"/>
              </w:rPr>
              <w:t>代表性交付物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需求分析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澄清业务目标、验收规则与异常边界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任务验收单.md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数据处理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样本检查、标注规范与数据集划分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dataset-report.json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算法开发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基线模型、训练参数与推理流程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train-config.yaml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测试验证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精度、召回率、时延与异常样本测试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evaluation-report.md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部署交付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环境清单、部署脚本与回滚说明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deployment-guide.md</w:t>
            </w:r>
          </w:p>
        </w:tc>
      </w:tr>
    </w:tbl>
    <w:p>
      <w:pPr>
        <w:spacing w:after="40"/>
      </w:pPr>
    </w:p>
    <w:p>
      <w:pPr>
        <w:spacing w:after="120" w:line="264" w:lineRule="auto"/>
        <w:jc w:val="left"/>
      </w:pPr>
      <w:r>
        <w:rPr>
          <w:rFonts w:ascii="Arial Unicode MS" w:hAnsi="Arial Unicode MS" w:eastAsia="Arial Unicode MS" w:cs="Arial Unicode MS"/>
          <w:color w:val="24313A"/>
        </w:rPr>
        <w:t>协同状态采用 working、ready、approved、reworking 和 merged 等明确状态表达，能够呈现学生主责、智能体产出和人工审核之间的责任边界。</w:t>
      </w:r>
    </w:p>
    <w:p>
      <w:pPr>
        <w:pStyle w:val="Heading1"/>
      </w:pPr>
      <w:r>
        <w:t>八、自适应面试与薄弱点诊断</w:t>
      </w:r>
    </w:p>
    <w:p>
      <w:pPr>
        <w:spacing w:after="120" w:line="264" w:lineRule="auto"/>
        <w:jc w:val="left"/>
      </w:pPr>
      <w:r>
        <w:rPr>
          <w:rFonts w:ascii="Arial Unicode MS" w:hAnsi="Arial Unicode MS" w:eastAsia="Arial Unicode MS" w:cs="Arial Unicode MS"/>
          <w:color w:val="24313A"/>
        </w:rPr>
        <w:t>模拟面试设置算法、工程实践和系统设计三类面试官，可选择专项模式或联合轮换。每道题绑定能力单元、知识或技能评价要点，作答后按命中项与缺失项形成诊断。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未覆盖关键要点时，下一题继续围绕当前能力域进行补强追问。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覆盖核心要点时，下一题提升追问深度，增加量化指标、方案取舍、风险和验证证据要求。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面试教练提供答题结构和示范建议，但不参与评分，避免辅导提示与评价结果混淆。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诊断结果回写能力单元状态，并关联对应教材页和学习任务。</w:t>
      </w:r>
    </w:p>
    <w:p>
      <w:pPr>
        <w:pStyle w:val="Heading1"/>
      </w:pPr>
      <w:r>
        <w:t>九、学习证据与成长状态计算</w:t>
      </w:r>
    </w:p>
    <w:p>
      <w:pPr>
        <w:spacing w:after="120" w:line="264" w:lineRule="auto"/>
        <w:jc w:val="left"/>
      </w:pPr>
      <w:r>
        <w:rPr>
          <w:rFonts w:ascii="Arial Unicode MS" w:hAnsi="Arial Unicode MS" w:eastAsia="Arial Unicode MS" w:cs="Arial Unicode MS"/>
          <w:color w:val="24313A"/>
        </w:rPr>
        <w:t>系统将教材阅读、章节检测、实训项目和模拟面试统一抽象为学习证据。证据记录来源、对象、关联能力、结果和时间，并按效力计算能力状态。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E1DE"/>
          <w:left w:val="single" w:sz="6" w:space="0" w:color="D8E1DE"/>
          <w:bottom w:val="single" w:sz="6" w:space="0" w:color="D8E1DE"/>
          <w:right w:val="single" w:sz="6" w:space="0" w:color="D8E1DE"/>
          <w:insideH w:val="single" w:sz="6" w:space="0" w:color="D8E1DE"/>
          <w:insideV w:val="single" w:sz="6" w:space="0" w:color="D8E1DE"/>
        </w:tblBorders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63F3A"/>
                <w:sz w:val="18"/>
              </w:rPr>
              <w:t>能力状态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63F3A"/>
                <w:sz w:val="18"/>
              </w:rPr>
              <w:t>触发条件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63F3A"/>
                <w:sz w:val="18"/>
              </w:rPr>
              <w:t>业务含义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未学习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无关联证据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尚未进入该能力的学习活动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学习中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仅有教材或课件访问证据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已接触内容，但尚未接受评价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待验证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章节检测通过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理论理解初步达成，仍需实践或面试验证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已验证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实训或面试通过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形成较高效力的能力证据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需要巩固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最近一次评价未通过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需要返回对应资源进行补强</w:t>
            </w:r>
          </w:p>
        </w:tc>
      </w:tr>
    </w:tbl>
    <w:p>
      <w:pPr>
        <w:spacing w:after="40"/>
      </w:pPr>
    </w:p>
    <w:p>
      <w:pPr>
        <w:spacing w:after="120" w:line="264" w:lineRule="auto"/>
        <w:jc w:val="left"/>
      </w:pPr>
      <w:r>
        <w:rPr>
          <w:rFonts w:ascii="Arial Unicode MS" w:hAnsi="Arial Unicode MS" w:eastAsia="Arial Unicode MS" w:cs="Arial Unicode MS"/>
          <w:color w:val="24313A"/>
        </w:rPr>
        <w:t>学习路径规划采用能力依赖图的前驱遍历：先识别已满足前置，再输出未满足前置、目标能力和后继能力，并寻找关联学习任务。该机制可防止路径只按页面顺序排列。</w:t>
      </w:r>
    </w:p>
    <w:p>
      <w:pPr>
        <w:pStyle w:val="Heading1"/>
      </w:pPr>
      <w:r>
        <w:t>十、数据管理、离线交付与安全边界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会话持久化：采用版本化快照保存分析状态、学习证据、助教消息、成长记忆和面试记录。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兼容迁移：当前学习会话可读取旧版本数据，并对不兼容字段执行回退或筛选。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异常容错：浏览器存储不可用或数据解析失败时，保持内存会话并回退到默认状态。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离线封装：构建脚本将 CSS、JavaScript 和图片资源内联到单一 HTML 文件。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文件边界：当前本地文件选择主要读取文件名并建立材料清单，不向外部服务上传内容。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80" w:type="dxa"/>
        <w:tblBorders>
          <w:top w:val="single" w:sz="0" w:space="0" w:color="FBF3E3"/>
          <w:left w:val="single" w:sz="0" w:space="0" w:color="FBF3E3"/>
          <w:bottom w:val="single" w:sz="0" w:space="0" w:color="FBF3E3"/>
          <w:right w:val="single" w:sz="0" w:space="0" w:color="FBF3E3"/>
          <w:insideH w:val="single" w:sz="0" w:space="0" w:color="FBF3E3"/>
          <w:insideV w:val="single" w:sz="0" w:space="0" w:color="FBF3E3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  <w:shd w:fill="FBF3E3"/>
          </w:tcPr>
          <w:p>
            <w:pPr>
              <w:spacing w:after="60"/>
            </w:pPr>
            <w:r>
              <w:rPr>
                <w:rFonts w:ascii="Arial Unicode MS" w:hAnsi="Arial Unicode MS" w:eastAsia="Arial Unicode MS" w:cs="Arial Unicode MS"/>
                <w:b/>
                <w:color w:val="C9973A"/>
                <w:sz w:val="19"/>
              </w:rPr>
              <w:t>当前技术边界</w:t>
            </w:r>
          </w:p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 w:cs="Arial Unicode MS"/>
                <w:color w:val="24313A"/>
                <w:sz w:val="20"/>
              </w:rPr>
              <w:t>系统未连接在线大模型接口、向量数据库、真实招聘接口或 GPU 训练环境；岗位解析、助教响应、协同智能体与面试自适应主要由本地结构化数据、状态机和规则逻辑驱动。</w:t>
            </w:r>
          </w:p>
        </w:tc>
      </w:tr>
    </w:tbl>
    <w:p>
      <w:pPr>
        <w:spacing w:after="40"/>
      </w:pPr>
    </w:p>
    <w:p>
      <w:pPr>
        <w:pStyle w:val="Heading1"/>
      </w:pPr>
      <w:r>
        <w:t>十一、工程质量与扩展接口</w:t>
      </w:r>
    </w:p>
    <w:p>
      <w:pPr>
        <w:spacing w:after="120" w:line="264" w:lineRule="auto"/>
        <w:jc w:val="left"/>
      </w:pPr>
      <w:r>
        <w:rPr>
          <w:rFonts w:ascii="Arial Unicode MS" w:hAnsi="Arial Unicode MS" w:eastAsia="Arial Unicode MS" w:cs="Arial Unicode MS"/>
          <w:color w:val="24313A"/>
        </w:rPr>
        <w:t>系统通过领域类型、纯函数算法、组件测试和离线入口测试降低复杂交互的回归风险。主要扩展点如下：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将岗位资料解析器替换为后端文档解析、检索增强和模型推理服务。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将本地岗位样本替换为经授权的招聘数据服务，并保留来源、时间和数据批次。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将本地存储替换为用户账户、学习记录存储和机构级数据治理服务。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将规则型智能体替换为具备工具调用、权限控制和过程审计的智能体运行平台。</w:t>
      </w:r>
    </w:p>
    <w:p>
      <w:pPr>
        <w:pStyle w:val="ListBullet"/>
      </w:pPr>
      <w:r>
        <w:rPr>
          <w:rFonts w:ascii="Arial Unicode MS" w:hAnsi="Arial Unicode MS" w:eastAsia="Arial Unicode MS" w:cs="Arial Unicode MS"/>
          <w:color w:val="24313A"/>
        </w:rPr>
        <w:t>将能力证据接口对接学习平台、实训平台、证书系统和就业服务系统。</w:t>
      </w:r>
    </w:p>
    <w:p>
      <w:pPr>
        <w:pStyle w:val="Heading1"/>
      </w:pPr>
      <w:r>
        <w:t>十二、当前版本技术指标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8E1DE"/>
          <w:left w:val="single" w:sz="6" w:space="0" w:color="D8E1DE"/>
          <w:bottom w:val="single" w:sz="6" w:space="0" w:color="D8E1DE"/>
          <w:right w:val="single" w:sz="6" w:space="0" w:color="D8E1DE"/>
          <w:insideH w:val="single" w:sz="6" w:space="0" w:color="D8E1DE"/>
          <w:insideV w:val="single" w:sz="6" w:space="0" w:color="D8E1DE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63F3A"/>
                <w:sz w:val="18"/>
              </w:rPr>
              <w:t>指标类别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7F5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63F3A"/>
                <w:sz w:val="18"/>
              </w:rPr>
              <w:t>当前实现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业务主链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岗位分析—学习与实训—模拟面试—成长档案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岗位结构样例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5 项典型工作任务、20 个能力单元、70 个能力点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教材资源样例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36 个教材原页学习节点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实训资源样例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4 个校内实训案例、5 类协同角色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运行方式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浏览器本地运行，支持开发入口与单文件离线入口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数据外发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24313A"/>
                <w:sz w:val="18"/>
              </w:rPr>
              <w:t>当前版本不主动发起网络请求，不上传本地资料</w:t>
            </w:r>
          </w:p>
        </w:tc>
      </w:tr>
    </w:tbl>
    <w:p>
      <w:pPr>
        <w:spacing w:after="40"/>
      </w:pPr>
    </w:p>
    <w:p>
      <w:pPr>
        <w:spacing w:after="0" w:line="264" w:lineRule="auto"/>
        <w:jc w:val="left"/>
      </w:pPr>
      <w:r>
        <w:rPr>
          <w:rFonts w:ascii="Arial Unicode MS" w:hAnsi="Arial Unicode MS" w:eastAsia="Arial Unicode MS" w:cs="Arial Unicode MS"/>
          <w:color w:val="24313A"/>
        </w:rPr>
        <w:t>以上指标为当前交付版本的系统配置，用于说明现有能力范围；后续可随专业、岗位、课程和机构数据扩展。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Arial Unicode MS" w:hAnsi="Arial Unicode MS" w:eastAsia="Arial Unicode MS" w:cs="Arial Unicode MS"/>
        <w:color w:val="66747D"/>
        <w:sz w:val="17"/>
      </w:rPr>
      <w:t xml:space="preserve">第 </w:t>
    </w:r>
    <w:r>
      <w:rPr>
        <w:rFonts w:ascii="Arial Unicode MS" w:hAnsi="Arial Unicode MS" w:eastAsia="Arial Unicode MS" w:cs="Arial Unicode MS"/>
        <w:color w:val="66747D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 w:cs="Arial Unicode MS"/>
        <w:color w:val="66747D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right"/>
      <w:pBdr>
        <w:bottom w:val="single" w:sz="4" w:space="4" w:color="D8E1DE"/>
      </w:pBdr>
    </w:pPr>
    <w:r>
      <w:rPr>
        <w:rFonts w:ascii="Arial Unicode MS" w:hAnsi="Arial Unicode MS" w:eastAsia="Arial Unicode MS" w:cs="Arial Unicode MS"/>
        <w:color w:val="66747D"/>
        <w:sz w:val="17"/>
      </w:rPr>
      <w:t>视界学伴  |  关键技术说明  | 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C6C6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C6C6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63F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63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66747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ind w:left="720" w:hanging="360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6" w:lineRule="auto"/>
      <w:ind w:left="720" w:hanging="360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 w:val="0"/>
      <w:spacing w:before="80" w:after="200"/>
      <w:jc w:val="center"/>
    </w:pPr>
    <w:rPr>
      <w:rFonts w:ascii="Arial Unicode MS" w:hAnsi="Arial Unicode MS" w:eastAsia="Arial Unicode MS"/>
      <w:color w:val="66747D"/>
      <w:sz w:val="18"/>
    </w:rPr>
  </w:style>
  <w:style w:type="paragraph" w:customStyle="1" w:styleId="SourceNote">
    <w:name w:val="Source Note"/>
    <w:pPr>
      <w:spacing w:before="80" w:after="80"/>
    </w:pPr>
    <w:rPr>
      <w:rFonts w:ascii="Arial Unicode MS" w:hAnsi="Arial Unicode MS" w:eastAsia="Arial Unicode MS"/>
      <w:color w:val="66747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视界学伴关键技术说明</dc:title>
  <dc:subject>计算机视觉岗位能力成长系统的架构、核心机制与交付边界</dc:subject>
  <dc:creator>系统建设组</dc:creator>
  <cp:keywords>视界学伴,计算机视觉,岗位能力,理实一体,智能助教</cp:keywords>
  <dc:description>正式交付文档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