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media/image8.png" ContentType="image/jpeg"/>
  <Override PartName="/word/media/image9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40"/>
        <w:jc w:val="center"/>
      </w:pPr>
      <w:r>
        <w:rPr>
          <w:rFonts w:ascii="Arial Unicode MS" w:hAnsi="Arial Unicode MS" w:eastAsia="Arial Unicode MS" w:cs="Arial Unicode MS"/>
          <w:b/>
          <w:color w:val="C9973A"/>
          <w:sz w:val="19"/>
        </w:rPr>
        <w:t>VISION CAREER DEVELOPMENT SYSTEM</w:t>
      </w:r>
    </w:p>
    <w:p>
      <w:pPr>
        <w:spacing w:after="200"/>
        <w:jc w:val="center"/>
      </w:pPr>
      <w:r>
        <w:rPr>
          <w:rFonts w:ascii="Arial Unicode MS" w:hAnsi="Arial Unicode MS" w:eastAsia="Arial Unicode MS" w:cs="Arial Unicode MS"/>
          <w:b/>
          <w:color w:val="2C6C62"/>
          <w:sz w:val="30"/>
        </w:rPr>
        <w:t>视界学伴</w:t>
      </w:r>
    </w:p>
    <w:p>
      <w:pPr>
        <w:pStyle w:val="Title"/>
        <w:jc w:val="center"/>
      </w:pPr>
      <w:r>
        <w:rPr>
          <w:rFonts w:ascii="Arial Unicode MS" w:hAnsi="Arial Unicode MS" w:eastAsia="Arial Unicode MS" w:cs="Arial Unicode MS"/>
          <w:b/>
          <w:color w:val="163F3A"/>
          <w:sz w:val="56"/>
        </w:rPr>
        <w:t>功能说明书</w:t>
      </w:r>
    </w:p>
    <w:p>
      <w:pPr>
        <w:pStyle w:val="Subtitle"/>
        <w:jc w:val="center"/>
      </w:pPr>
      <w:r>
        <w:rPr>
          <w:rFonts w:ascii="Arial Unicode MS" w:hAnsi="Arial Unicode MS" w:eastAsia="Arial Unicode MS" w:cs="Arial Unicode MS"/>
          <w:color w:val="66747D"/>
          <w:sz w:val="26"/>
        </w:rPr>
        <w:t>计算机视觉岗位能力成长系统</w:t>
      </w:r>
    </w:p>
    <w:p>
      <w:pPr>
        <w:spacing w:before="320" w:after="1920"/>
        <w:jc w:val="center"/>
      </w:pPr>
      <w:r>
        <w:rPr>
          <w:rFonts w:ascii="Arial Unicode MS" w:hAnsi="Arial Unicode MS" w:eastAsia="Arial Unicode MS" w:cs="Arial Unicode MS"/>
          <w:b/>
          <w:color w:val="C9973A"/>
          <w:sz w:val="21"/>
        </w:rPr>
        <w:t>FUNCTIONAL DESCRIPTION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7F5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 Unicode MS" w:hAnsi="Arial Unicode MS" w:eastAsia="Arial Unicode MS" w:cs="Arial Unicode MS"/>
                <w:b/>
                <w:color w:val="2C6C62"/>
                <w:sz w:val="18"/>
              </w:rPr>
              <w:t>文档版本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7F5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4313A"/>
                <w:sz w:val="18"/>
              </w:rPr>
              <w:t>V1.0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7F5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 Unicode MS" w:hAnsi="Arial Unicode MS" w:eastAsia="Arial Unicode MS" w:cs="Arial Unicode MS"/>
                <w:b/>
                <w:color w:val="2C6C62"/>
                <w:sz w:val="18"/>
              </w:rPr>
              <w:t>编制日期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7F5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4313A"/>
                <w:sz w:val="18"/>
              </w:rPr>
              <w:t>2026年8月28日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7F5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 Unicode MS" w:hAnsi="Arial Unicode MS" w:eastAsia="Arial Unicode MS" w:cs="Arial Unicode MS"/>
                <w:b/>
                <w:color w:val="2C6C62"/>
                <w:sz w:val="18"/>
              </w:rPr>
              <w:t>适用范围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7F5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4313A"/>
                <w:sz w:val="18"/>
              </w:rPr>
              <w:t>系统建设、交付与使用说明</w:t>
            </w:r>
          </w:p>
        </w:tc>
      </w:tr>
    </w:tbl>
    <w:p>
      <w:r>
        <w:br w:type="page"/>
      </w:r>
    </w:p>
    <w:p>
      <w:pPr>
        <w:pStyle w:val="Heading1"/>
      </w:pPr>
      <w:r>
        <w:t>文档目录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  <w:tblBorders>
          <w:top w:val="single" w:sz="0" w:space="0" w:color="F3F7F5"/>
          <w:left w:val="single" w:sz="0" w:space="0" w:color="F3F7F5"/>
          <w:bottom w:val="single" w:sz="0" w:space="0" w:color="F3F7F5"/>
          <w:right w:val="single" w:sz="0" w:space="0" w:color="F3F7F5"/>
          <w:insideH w:val="single" w:sz="0" w:space="0" w:color="F3F7F5"/>
          <w:insideV w:val="single" w:sz="0" w:space="0" w:color="F3F7F5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shd w:fill="F3F7F5"/>
          </w:tcPr>
          <w:p>
            <w:pPr>
              <w:spacing w:after="60"/>
            </w:pPr>
            <w:r>
              <w:rPr>
                <w:rFonts w:ascii="Arial Unicode MS" w:hAnsi="Arial Unicode MS" w:eastAsia="Arial Unicode MS" w:cs="Arial Unicode MS"/>
                <w:b/>
                <w:color w:val="2C6C62"/>
                <w:sz w:val="19"/>
              </w:rPr>
              <w:t>阅读提示</w:t>
            </w:r>
          </w:p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color w:val="24313A"/>
                <w:sz w:val="20"/>
              </w:rPr>
              <w:t>本文档采用“结论先行、分层展开”的结构。各章节可独立查阅，也可按目录顺序完整阅读。</w:t>
            </w:r>
          </w:p>
        </w:tc>
      </w:tr>
    </w:tbl>
    <w:p>
      <w:pPr>
        <w:spacing w:after="40"/>
      </w:pPr>
    </w:p>
    <w:p>
      <w:pPr>
        <w:numPr>
          <w:ilvl w:val="0"/>
          <w:numId w:val="10"/>
        </w:numPr>
        <w:spacing w:after="100" w:line="276" w:lineRule="auto"/>
        <w:ind w:left="720" w:hanging="360"/>
      </w:pPr>
      <w:r>
        <w:rPr>
          <w:rFonts w:ascii="Arial Unicode MS" w:hAnsi="Arial Unicode MS" w:eastAsia="Arial Unicode MS" w:cs="Arial Unicode MS"/>
          <w:color w:val="24313A"/>
        </w:rPr>
        <w:t>系统概述</w:t>
      </w:r>
    </w:p>
    <w:p>
      <w:pPr>
        <w:numPr>
          <w:ilvl w:val="0"/>
          <w:numId w:val="10"/>
        </w:numPr>
        <w:spacing w:after="100" w:line="276" w:lineRule="auto"/>
        <w:ind w:left="720" w:hanging="360"/>
      </w:pPr>
      <w:r>
        <w:rPr>
          <w:rFonts w:ascii="Arial Unicode MS" w:hAnsi="Arial Unicode MS" w:eastAsia="Arial Unicode MS" w:cs="Arial Unicode MS"/>
          <w:color w:val="24313A"/>
        </w:rPr>
        <w:t>适用对象与使用流程</w:t>
      </w:r>
    </w:p>
    <w:p>
      <w:pPr>
        <w:numPr>
          <w:ilvl w:val="0"/>
          <w:numId w:val="10"/>
        </w:numPr>
        <w:spacing w:after="100" w:line="276" w:lineRule="auto"/>
        <w:ind w:left="720" w:hanging="360"/>
      </w:pPr>
      <w:r>
        <w:rPr>
          <w:rFonts w:ascii="Arial Unicode MS" w:hAnsi="Arial Unicode MS" w:eastAsia="Arial Unicode MS" w:cs="Arial Unicode MS"/>
          <w:color w:val="24313A"/>
        </w:rPr>
        <w:t>系统首页</w:t>
      </w:r>
    </w:p>
    <w:p>
      <w:pPr>
        <w:numPr>
          <w:ilvl w:val="0"/>
          <w:numId w:val="10"/>
        </w:numPr>
        <w:spacing w:after="100" w:line="276" w:lineRule="auto"/>
        <w:ind w:left="720" w:hanging="360"/>
      </w:pPr>
      <w:r>
        <w:rPr>
          <w:rFonts w:ascii="Arial Unicode MS" w:hAnsi="Arial Unicode MS" w:eastAsia="Arial Unicode MS" w:cs="Arial Unicode MS"/>
          <w:color w:val="24313A"/>
        </w:rPr>
        <w:t>岗位分析资料配置</w:t>
      </w:r>
    </w:p>
    <w:p>
      <w:pPr>
        <w:numPr>
          <w:ilvl w:val="0"/>
          <w:numId w:val="10"/>
        </w:numPr>
        <w:spacing w:after="100" w:line="276" w:lineRule="auto"/>
        <w:ind w:left="720" w:hanging="360"/>
      </w:pPr>
      <w:r>
        <w:rPr>
          <w:rFonts w:ascii="Arial Unicode MS" w:hAnsi="Arial Unicode MS" w:eastAsia="Arial Unicode MS" w:cs="Arial Unicode MS"/>
          <w:color w:val="24313A"/>
        </w:rPr>
        <w:t>岗位智能分析过程</w:t>
      </w:r>
    </w:p>
    <w:p>
      <w:pPr>
        <w:numPr>
          <w:ilvl w:val="0"/>
          <w:numId w:val="10"/>
        </w:numPr>
        <w:spacing w:after="100" w:line="276" w:lineRule="auto"/>
        <w:ind w:left="720" w:hanging="360"/>
      </w:pPr>
      <w:r>
        <w:rPr>
          <w:rFonts w:ascii="Arial Unicode MS" w:hAnsi="Arial Unicode MS" w:eastAsia="Arial Unicode MS" w:cs="Arial Unicode MS"/>
          <w:color w:val="24313A"/>
        </w:rPr>
        <w:t>岗位能力图谱</w:t>
      </w:r>
    </w:p>
    <w:p>
      <w:pPr>
        <w:numPr>
          <w:ilvl w:val="0"/>
          <w:numId w:val="10"/>
        </w:numPr>
        <w:spacing w:after="100" w:line="276" w:lineRule="auto"/>
        <w:ind w:left="720" w:hanging="360"/>
      </w:pPr>
      <w:r>
        <w:rPr>
          <w:rFonts w:ascii="Arial Unicode MS" w:hAnsi="Arial Unicode MS" w:eastAsia="Arial Unicode MS" w:cs="Arial Unicode MS"/>
          <w:color w:val="24313A"/>
        </w:rPr>
        <w:t>学习型工作任务与学习中心</w:t>
      </w:r>
    </w:p>
    <w:p>
      <w:pPr>
        <w:numPr>
          <w:ilvl w:val="0"/>
          <w:numId w:val="10"/>
        </w:numPr>
        <w:spacing w:after="100" w:line="276" w:lineRule="auto"/>
        <w:ind w:left="720" w:hanging="360"/>
      </w:pPr>
      <w:r>
        <w:rPr>
          <w:rFonts w:ascii="Arial Unicode MS" w:hAnsi="Arial Unicode MS" w:eastAsia="Arial Unicode MS" w:cs="Arial Unicode MS"/>
          <w:color w:val="24313A"/>
        </w:rPr>
        <w:t>多角色协同实训</w:t>
      </w:r>
    </w:p>
    <w:p>
      <w:pPr>
        <w:numPr>
          <w:ilvl w:val="0"/>
          <w:numId w:val="10"/>
        </w:numPr>
        <w:spacing w:after="100" w:line="276" w:lineRule="auto"/>
        <w:ind w:left="720" w:hanging="360"/>
      </w:pPr>
      <w:r>
        <w:rPr>
          <w:rFonts w:ascii="Arial Unicode MS" w:hAnsi="Arial Unicode MS" w:eastAsia="Arial Unicode MS" w:cs="Arial Unicode MS"/>
          <w:color w:val="24313A"/>
        </w:rPr>
        <w:t>实训项目工作台</w:t>
      </w:r>
    </w:p>
    <w:p>
      <w:pPr>
        <w:numPr>
          <w:ilvl w:val="0"/>
          <w:numId w:val="10"/>
        </w:numPr>
        <w:spacing w:after="100" w:line="276" w:lineRule="auto"/>
        <w:ind w:left="720" w:hanging="360"/>
      </w:pPr>
      <w:r>
        <w:rPr>
          <w:rFonts w:ascii="Arial Unicode MS" w:hAnsi="Arial Unicode MS" w:eastAsia="Arial Unicode MS" w:cs="Arial Unicode MS"/>
          <w:color w:val="24313A"/>
        </w:rPr>
        <w:t>多智能体模拟面试</w:t>
      </w:r>
    </w:p>
    <w:p>
      <w:pPr>
        <w:numPr>
          <w:ilvl w:val="0"/>
          <w:numId w:val="10"/>
        </w:numPr>
        <w:spacing w:after="100" w:line="276" w:lineRule="auto"/>
        <w:ind w:left="720" w:hanging="360"/>
      </w:pPr>
      <w:r>
        <w:rPr>
          <w:rFonts w:ascii="Arial Unicode MS" w:hAnsi="Arial Unicode MS" w:eastAsia="Arial Unicode MS" w:cs="Arial Unicode MS"/>
          <w:color w:val="24313A"/>
        </w:rPr>
        <w:t>个人成长档案</w:t>
      </w:r>
    </w:p>
    <w:p>
      <w:pPr>
        <w:numPr>
          <w:ilvl w:val="0"/>
          <w:numId w:val="10"/>
        </w:numPr>
        <w:spacing w:after="100" w:line="276" w:lineRule="auto"/>
        <w:ind w:left="720" w:hanging="360"/>
      </w:pPr>
      <w:r>
        <w:rPr>
          <w:rFonts w:ascii="Arial Unicode MS" w:hAnsi="Arial Unicode MS" w:eastAsia="Arial Unicode MS" w:cs="Arial Unicode MS"/>
          <w:color w:val="24313A"/>
        </w:rPr>
        <w:t>业务规则与功能边界</w:t>
      </w:r>
    </w:p>
    <w:p>
      <w:pPr>
        <w:numPr>
          <w:ilvl w:val="0"/>
          <w:numId w:val="10"/>
        </w:numPr>
        <w:spacing w:after="100" w:line="276" w:lineRule="auto"/>
        <w:ind w:left="720" w:hanging="360"/>
      </w:pPr>
      <w:r>
        <w:rPr>
          <w:rFonts w:ascii="Arial Unicode MS" w:hAnsi="Arial Unicode MS" w:eastAsia="Arial Unicode MS" w:cs="Arial Unicode MS"/>
          <w:color w:val="24313A"/>
        </w:rPr>
        <w:t>功能验收要点</w:t>
      </w:r>
    </w:p>
    <w:p>
      <w:r>
        <w:br w:type="page"/>
      </w:r>
    </w:p>
    <w:p>
      <w:pPr>
        <w:pStyle w:val="Heading1"/>
      </w:pPr>
      <w:r>
        <w:t>一、系统概述</w:t>
      </w:r>
    </w:p>
    <w:p>
      <w:pPr>
        <w:spacing w:after="120" w:line="264" w:lineRule="auto"/>
        <w:jc w:val="left"/>
      </w:pPr>
      <w:r>
        <w:rPr>
          <w:rFonts w:ascii="Arial Unicode MS" w:hAnsi="Arial Unicode MS" w:eastAsia="Arial Unicode MS" w:cs="Arial Unicode MS"/>
          <w:color w:val="24313A"/>
        </w:rPr>
        <w:t>视界学伴面向计算机视觉相关专业学习者，以目标岗位为起点，组织岗位解析、能力建模、课程学习、项目实训、模拟面试和成长反馈。系统强调“先理解岗位，再组织学习，最后用证据验证能力”。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  <w:tblBorders>
          <w:top w:val="single" w:sz="0" w:space="0" w:color="F3F7F5"/>
          <w:left w:val="single" w:sz="0" w:space="0" w:color="F3F7F5"/>
          <w:bottom w:val="single" w:sz="0" w:space="0" w:color="F3F7F5"/>
          <w:right w:val="single" w:sz="0" w:space="0" w:color="F3F7F5"/>
          <w:insideH w:val="single" w:sz="0" w:space="0" w:color="F3F7F5"/>
          <w:insideV w:val="single" w:sz="0" w:space="0" w:color="F3F7F5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shd w:fill="F3F7F5"/>
          </w:tcPr>
          <w:p>
            <w:pPr>
              <w:spacing w:after="60"/>
            </w:pPr>
            <w:r>
              <w:rPr>
                <w:rFonts w:ascii="Arial Unicode MS" w:hAnsi="Arial Unicode MS" w:eastAsia="Arial Unicode MS" w:cs="Arial Unicode MS"/>
                <w:b/>
                <w:color w:val="2C6C62"/>
                <w:sz w:val="19"/>
              </w:rPr>
              <w:t>核心价值</w:t>
            </w:r>
          </w:p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color w:val="24313A"/>
                <w:sz w:val="20"/>
              </w:rPr>
              <w:t>将职业标准、教材、岗位资料和实训资源转化为学生可理解、可执行、可验证的成长路径，并把各环节形成的证据统一沉淀到个人成长档案。</w:t>
            </w:r>
          </w:p>
        </w:tc>
      </w:tr>
    </w:tbl>
    <w:p>
      <w:pPr>
        <w:spacing w:after="4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8E1DE"/>
          <w:left w:val="single" w:sz="6" w:space="0" w:color="D8E1DE"/>
          <w:bottom w:val="single" w:sz="6" w:space="0" w:color="D8E1DE"/>
          <w:right w:val="single" w:sz="6" w:space="0" w:color="D8E1DE"/>
          <w:insideH w:val="single" w:sz="6" w:space="0" w:color="D8E1DE"/>
          <w:insideV w:val="single" w:sz="6" w:space="0" w:color="D8E1DE"/>
        </w:tblBorders>
      </w:tblPr>
      <w:tblGrid>
        <w:gridCol w:w="1800"/>
        <w:gridCol w:w="4380"/>
        <w:gridCol w:w="318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7F5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63F3A"/>
                <w:sz w:val="18"/>
              </w:rPr>
              <w:t>功能域</w:t>
            </w:r>
          </w:p>
        </w:tc>
        <w:tc>
          <w:tcPr>
            <w:tcW w:type="dxa" w:w="4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7F5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63F3A"/>
                <w:sz w:val="18"/>
              </w:rPr>
              <w:t>主要功能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7F5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63F3A"/>
                <w:sz w:val="18"/>
              </w:rPr>
              <w:t>主要输出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24313A"/>
                <w:sz w:val="18"/>
              </w:rPr>
              <w:t>岗位分析</w:t>
            </w:r>
          </w:p>
        </w:tc>
        <w:tc>
          <w:tcPr>
            <w:tcW w:type="dxa" w:w="4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4313A"/>
                <w:sz w:val="18"/>
              </w:rPr>
              <w:t>多源资料配置、八步解析、任务与能力拆解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4313A"/>
                <w:sz w:val="18"/>
              </w:rPr>
              <w:t>岗位能力图谱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24313A"/>
                <w:sz w:val="18"/>
              </w:rPr>
              <w:t>学习中心</w:t>
            </w:r>
          </w:p>
        </w:tc>
        <w:tc>
          <w:tcPr>
            <w:tcW w:type="dxa" w:w="4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4313A"/>
                <w:sz w:val="18"/>
              </w:rPr>
              <w:t>教材原页、智能伴读、检测、路径规划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4313A"/>
                <w:sz w:val="18"/>
              </w:rPr>
              <w:t>学习记录与待验证能力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24313A"/>
                <w:sz w:val="18"/>
              </w:rPr>
              <w:t>项目实训</w:t>
            </w:r>
          </w:p>
        </w:tc>
        <w:tc>
          <w:tcPr>
            <w:tcW w:type="dxa" w:w="4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4313A"/>
                <w:sz w:val="18"/>
              </w:rPr>
              <w:t>案例选择、角色协同、分步交付、产物审核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4313A"/>
                <w:sz w:val="18"/>
              </w:rPr>
              <w:t>实践证据与项目产物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24313A"/>
                <w:sz w:val="18"/>
              </w:rPr>
              <w:t>模拟面试</w:t>
            </w:r>
          </w:p>
        </w:tc>
        <w:tc>
          <w:tcPr>
            <w:tcW w:type="dxa" w:w="4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4313A"/>
                <w:sz w:val="18"/>
              </w:rPr>
              <w:t>多面试官、自适应追问、命中与缺失诊断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4313A"/>
                <w:sz w:val="18"/>
              </w:rPr>
              <w:t>面试记录与补强建议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24313A"/>
                <w:sz w:val="18"/>
              </w:rPr>
              <w:t>成长档案</w:t>
            </w:r>
          </w:p>
        </w:tc>
        <w:tc>
          <w:tcPr>
            <w:tcW w:type="dxa" w:w="4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4313A"/>
                <w:sz w:val="18"/>
              </w:rPr>
              <w:t>个人记忆、证据时间线、能力状态、历史记录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4313A"/>
                <w:sz w:val="18"/>
              </w:rPr>
              <w:t>持续更新的成长画像</w:t>
            </w:r>
          </w:p>
        </w:tc>
      </w:tr>
    </w:tbl>
    <w:p>
      <w:pPr>
        <w:spacing w:after="40"/>
      </w:pPr>
    </w:p>
    <w:p>
      <w:pPr>
        <w:pStyle w:val="Heading1"/>
      </w:pPr>
      <w:r>
        <w:t>二、适用对象与使用流程</w:t>
      </w:r>
    </w:p>
    <w:p>
      <w:pPr>
        <w:spacing w:after="120" w:line="264" w:lineRule="auto"/>
        <w:jc w:val="left"/>
      </w:pPr>
      <w:r>
        <w:rPr>
          <w:rFonts w:ascii="Arial Unicode MS" w:hAnsi="Arial Unicode MS" w:eastAsia="Arial Unicode MS" w:cs="Arial Unicode MS"/>
          <w:color w:val="24313A"/>
        </w:rPr>
        <w:t>主要使用对象包括专业学生、课程教师、实训指导教师和专业建设人员。学生负责完成学习、实训与面试；教师可使用岗位图谱、资源关联和证据记录组织教学与指导。</w:t>
      </w:r>
    </w:p>
    <w:p>
      <w:pPr>
        <w:numPr>
          <w:ilvl w:val="0"/>
          <w:numId w:val="11"/>
        </w:numPr>
        <w:spacing w:after="100" w:line="276" w:lineRule="auto"/>
        <w:ind w:left="720" w:hanging="360"/>
      </w:pPr>
      <w:r>
        <w:rPr>
          <w:rFonts w:ascii="Arial Unicode MS" w:hAnsi="Arial Unicode MS" w:eastAsia="Arial Unicode MS" w:cs="Arial Unicode MS"/>
          <w:color w:val="24313A"/>
        </w:rPr>
        <w:t>进入首页，查看岗位能力成长闭环和当前进度。</w:t>
      </w:r>
    </w:p>
    <w:p>
      <w:pPr>
        <w:numPr>
          <w:ilvl w:val="0"/>
          <w:numId w:val="11"/>
        </w:numPr>
        <w:spacing w:after="100" w:line="276" w:lineRule="auto"/>
        <w:ind w:left="720" w:hanging="360"/>
      </w:pPr>
      <w:r>
        <w:rPr>
          <w:rFonts w:ascii="Arial Unicode MS" w:hAnsi="Arial Unicode MS" w:eastAsia="Arial Unicode MS" w:cs="Arial Unicode MS"/>
          <w:color w:val="24313A"/>
        </w:rPr>
        <w:t>配置教材、职业标准、行业报告和岗位资料，运行岗位分析。</w:t>
      </w:r>
    </w:p>
    <w:p>
      <w:pPr>
        <w:numPr>
          <w:ilvl w:val="0"/>
          <w:numId w:val="11"/>
        </w:numPr>
        <w:spacing w:after="100" w:line="276" w:lineRule="auto"/>
        <w:ind w:left="720" w:hanging="360"/>
      </w:pPr>
      <w:r>
        <w:rPr>
          <w:rFonts w:ascii="Arial Unicode MS" w:hAnsi="Arial Unicode MS" w:eastAsia="Arial Unicode MS" w:cs="Arial Unicode MS"/>
          <w:color w:val="24313A"/>
        </w:rPr>
        <w:t>查看典型工作任务、能力单元、能力点及其关系。</w:t>
      </w:r>
    </w:p>
    <w:p>
      <w:pPr>
        <w:numPr>
          <w:ilvl w:val="0"/>
          <w:numId w:val="11"/>
        </w:numPr>
        <w:spacing w:after="100" w:line="276" w:lineRule="auto"/>
        <w:ind w:left="720" w:hanging="360"/>
      </w:pPr>
      <w:r>
        <w:rPr>
          <w:rFonts w:ascii="Arial Unicode MS" w:hAnsi="Arial Unicode MS" w:eastAsia="Arial Unicode MS" w:cs="Arial Unicode MS"/>
          <w:color w:val="24313A"/>
        </w:rPr>
        <w:t>将岗位任务转化为学习型工作任务，进入教材和实训学习。</w:t>
      </w:r>
    </w:p>
    <w:p>
      <w:pPr>
        <w:numPr>
          <w:ilvl w:val="0"/>
          <w:numId w:val="11"/>
        </w:numPr>
        <w:spacing w:after="100" w:line="276" w:lineRule="auto"/>
        <w:ind w:left="720" w:hanging="360"/>
      </w:pPr>
      <w:r>
        <w:rPr>
          <w:rFonts w:ascii="Arial Unicode MS" w:hAnsi="Arial Unicode MS" w:eastAsia="Arial Unicode MS" w:cs="Arial Unicode MS"/>
          <w:color w:val="24313A"/>
        </w:rPr>
        <w:t>在实训项目中选择主责角色，并与其他角色智能体协同完成交付。</w:t>
      </w:r>
    </w:p>
    <w:p>
      <w:pPr>
        <w:numPr>
          <w:ilvl w:val="0"/>
          <w:numId w:val="11"/>
        </w:numPr>
        <w:spacing w:after="100" w:line="276" w:lineRule="auto"/>
        <w:ind w:left="720" w:hanging="360"/>
      </w:pPr>
      <w:r>
        <w:rPr>
          <w:rFonts w:ascii="Arial Unicode MS" w:hAnsi="Arial Unicode MS" w:eastAsia="Arial Unicode MS" w:cs="Arial Unicode MS"/>
          <w:color w:val="24313A"/>
        </w:rPr>
        <w:t>参加多角色模拟面试，获得能力诊断和学习补强建议。</w:t>
      </w:r>
    </w:p>
    <w:p>
      <w:pPr>
        <w:numPr>
          <w:ilvl w:val="0"/>
          <w:numId w:val="11"/>
        </w:numPr>
        <w:spacing w:after="100" w:line="276" w:lineRule="auto"/>
        <w:ind w:left="720" w:hanging="360"/>
      </w:pPr>
      <w:r>
        <w:rPr>
          <w:rFonts w:ascii="Arial Unicode MS" w:hAnsi="Arial Unicode MS" w:eastAsia="Arial Unicode MS" w:cs="Arial Unicode MS"/>
          <w:color w:val="24313A"/>
        </w:rPr>
        <w:t>在个人成长档案中复盘证据、能力状态和后续学习方向。</w:t>
      </w:r>
    </w:p>
    <w:p>
      <w:pPr>
        <w:pStyle w:val="Heading1"/>
      </w:pPr>
      <w:r>
        <w:t>三、系统首页</w:t>
      </w:r>
    </w:p>
    <w:p>
      <w:pPr>
        <w:spacing w:after="120" w:line="264" w:lineRule="auto"/>
        <w:jc w:val="left"/>
      </w:pPr>
      <w:r>
        <w:rPr>
          <w:rFonts w:ascii="Arial Unicode MS" w:hAnsi="Arial Unicode MS" w:eastAsia="Arial Unicode MS" w:cs="Arial Unicode MS"/>
          <w:color w:val="24313A"/>
        </w:rPr>
        <w:t>首页用于说明系统定位、展示完整业务闭环，并根据当前生命周期状态引导用户进入下一阶段。未完成岗位分析时，学习、面试等派生功能保持门控状态。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1" name="Picture 1" descr="视界学伴系统首页，展示岗位能力成长闭环与开始岗位分析入口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首页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rFonts w:ascii="Arial Unicode MS" w:hAnsi="Arial Unicode MS" w:eastAsia="Arial Unicode MS" w:cs="Arial Unicode MS"/>
          <w:color w:val="66747D"/>
          <w:sz w:val="18"/>
        </w:rPr>
        <w:t>图 1  系统首页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24313A"/>
        </w:rPr>
        <w:t>“开始岗位分析”进入资料配置工作台。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24313A"/>
        </w:rPr>
        <w:t>“当前旅程”显示用户所处阶段和下一步建议。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24313A"/>
        </w:rPr>
        <w:t>七个业务环节说明从资料接入到证书与就业推荐的完整路径。</w:t>
      </w:r>
    </w:p>
    <w:p>
      <w:pPr>
        <w:pStyle w:val="Heading1"/>
      </w:pPr>
      <w:r>
        <w:t>四、岗位分析资料配置</w:t>
      </w:r>
    </w:p>
    <w:p>
      <w:pPr>
        <w:spacing w:after="120" w:line="264" w:lineRule="auto"/>
        <w:jc w:val="left"/>
      </w:pPr>
      <w:r>
        <w:rPr>
          <w:rFonts w:ascii="Arial Unicode MS" w:hAnsi="Arial Unicode MS" w:eastAsia="Arial Unicode MS" w:cs="Arial Unicode MS"/>
          <w:color w:val="24313A"/>
        </w:rPr>
        <w:t>岗位分析支持教材、职业标准、行业分析报告和岗位说明书四类材料。系统预置示例资料，也允许用户选择本地文件建立材料清单。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2" name="Picture 2" descr="岗位分析资料配置页，展示四类材料与已挂载资料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岗位分析资料配置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rFonts w:ascii="Arial Unicode MS" w:hAnsi="Arial Unicode MS" w:eastAsia="Arial Unicode MS" w:cs="Arial Unicode MS"/>
          <w:color w:val="66747D"/>
          <w:sz w:val="18"/>
        </w:rPr>
        <w:t>图 2  岗位分析资料配置</w:t>
      </w:r>
    </w:p>
    <w:p>
      <w:pPr>
        <w:numPr>
          <w:ilvl w:val="0"/>
          <w:numId w:val="12"/>
        </w:numPr>
        <w:spacing w:after="100" w:line="276" w:lineRule="auto"/>
        <w:ind w:left="720" w:hanging="360"/>
      </w:pPr>
      <w:r>
        <w:rPr>
          <w:rFonts w:ascii="Arial Unicode MS" w:hAnsi="Arial Unicode MS" w:eastAsia="Arial Unicode MS" w:cs="Arial Unicode MS"/>
          <w:color w:val="24313A"/>
        </w:rPr>
        <w:t>检查已挂载资料的名称、类别和来源标记。</w:t>
      </w:r>
    </w:p>
    <w:p>
      <w:pPr>
        <w:numPr>
          <w:ilvl w:val="0"/>
          <w:numId w:val="12"/>
        </w:numPr>
        <w:spacing w:after="100" w:line="276" w:lineRule="auto"/>
        <w:ind w:left="720" w:hanging="360"/>
      </w:pPr>
      <w:r>
        <w:rPr>
          <w:rFonts w:ascii="Arial Unicode MS" w:hAnsi="Arial Unicode MS" w:eastAsia="Arial Unicode MS" w:cs="Arial Unicode MS"/>
          <w:color w:val="24313A"/>
        </w:rPr>
        <w:t>如需补充资料，点击相应材料类型并选择本地文件。</w:t>
      </w:r>
    </w:p>
    <w:p>
      <w:pPr>
        <w:numPr>
          <w:ilvl w:val="0"/>
          <w:numId w:val="12"/>
        </w:numPr>
        <w:spacing w:after="100" w:line="276" w:lineRule="auto"/>
        <w:ind w:left="720" w:hanging="360"/>
      </w:pPr>
      <w:r>
        <w:rPr>
          <w:rFonts w:ascii="Arial Unicode MS" w:hAnsi="Arial Unicode MS" w:eastAsia="Arial Unicode MS" w:cs="Arial Unicode MS"/>
          <w:color w:val="24313A"/>
        </w:rPr>
        <w:t>确认材料数量后，点击“开始智能分析”。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  <w:tblBorders>
          <w:top w:val="single" w:sz="0" w:space="0" w:color="FBF3E3"/>
          <w:left w:val="single" w:sz="0" w:space="0" w:color="FBF3E3"/>
          <w:bottom w:val="single" w:sz="0" w:space="0" w:color="FBF3E3"/>
          <w:right w:val="single" w:sz="0" w:space="0" w:color="FBF3E3"/>
          <w:insideH w:val="single" w:sz="0" w:space="0" w:color="FBF3E3"/>
          <w:insideV w:val="single" w:sz="0" w:space="0" w:color="FBF3E3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shd w:fill="FBF3E3"/>
          </w:tcPr>
          <w:p>
            <w:pPr>
              <w:spacing w:after="60"/>
            </w:pPr>
            <w:r>
              <w:rPr>
                <w:rFonts w:ascii="Arial Unicode MS" w:hAnsi="Arial Unicode MS" w:eastAsia="Arial Unicode MS" w:cs="Arial Unicode MS"/>
                <w:b/>
                <w:color w:val="C9973A"/>
                <w:sz w:val="19"/>
              </w:rPr>
              <w:t>文件处理说明</w:t>
            </w:r>
          </w:p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color w:val="24313A"/>
                <w:sz w:val="20"/>
              </w:rPr>
              <w:t>当前版本建立本地资料清单并读取文件名，不向外部服务上传文件内容。预置资料用于保证系统在无外部依赖时能够完整运行。</w:t>
            </w:r>
          </w:p>
        </w:tc>
      </w:tr>
    </w:tbl>
    <w:p>
      <w:pPr>
        <w:spacing w:after="40"/>
      </w:pPr>
    </w:p>
    <w:p>
      <w:pPr>
        <w:pStyle w:val="Heading1"/>
      </w:pPr>
      <w:r>
        <w:t>五、岗位智能分析过程</w:t>
      </w:r>
    </w:p>
    <w:p>
      <w:pPr>
        <w:spacing w:after="120" w:line="264" w:lineRule="auto"/>
        <w:jc w:val="left"/>
      </w:pPr>
      <w:r>
        <w:rPr>
          <w:rFonts w:ascii="Arial Unicode MS" w:hAnsi="Arial Unicode MS" w:eastAsia="Arial Unicode MS" w:cs="Arial Unicode MS"/>
          <w:color w:val="24313A"/>
        </w:rPr>
        <w:t>运行分析后，系统展示八步解析过程、数据接入状态、岗位样本数量、典型任务数量、能力节点数量和关系数量。用户能够看到岗位结构从资料到图谱的形成过程。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3" name="Picture 3" descr="岗位智能分析运行页，展示数据来源、进度和分步解析状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岗位智能分析过程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rFonts w:ascii="Arial Unicode MS" w:hAnsi="Arial Unicode MS" w:eastAsia="Arial Unicode MS" w:cs="Arial Unicode MS"/>
          <w:color w:val="66747D"/>
          <w:sz w:val="18"/>
        </w:rPr>
        <w:t>图 3  岗位智能分析过程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24313A"/>
        </w:rPr>
        <w:t>顶部显示当前解析目标和岗位数据更新时间。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24313A"/>
        </w:rPr>
        <w:t>中部显示产业、专业与招聘数据的接入状态。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24313A"/>
        </w:rPr>
        <w:t>底部按顺序展示资料读取、岗位识别、任务提取、能力拆解和图谱生成。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24313A"/>
        </w:rPr>
        <w:t>分析完成后自动进入岗位能力图谱。</w:t>
      </w:r>
    </w:p>
    <w:p>
      <w:pPr>
        <w:pStyle w:val="Heading1"/>
      </w:pPr>
      <w:r>
        <w:t>六、岗位能力图谱</w:t>
      </w:r>
    </w:p>
    <w:p>
      <w:pPr>
        <w:spacing w:after="120" w:line="264" w:lineRule="auto"/>
        <w:jc w:val="left"/>
      </w:pPr>
      <w:r>
        <w:rPr>
          <w:rFonts w:ascii="Arial Unicode MS" w:hAnsi="Arial Unicode MS" w:eastAsia="Arial Unicode MS" w:cs="Arial Unicode MS"/>
          <w:color w:val="24313A"/>
        </w:rPr>
        <w:t>岗位能力图谱是系统的核心关系视图。页面同时展示职业与岗位上下文、典型工作任务数量、能力单元数量、能力点数量和已转学习任务数量。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4" name="Picture 4" descr="岗位能力图谱页面，展示职业、岗位、任务、能力单元和能力点关系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岗位能力图谱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rFonts w:ascii="Arial Unicode MS" w:hAnsi="Arial Unicode MS" w:eastAsia="Arial Unicode MS" w:cs="Arial Unicode MS"/>
          <w:color w:val="66747D"/>
          <w:sz w:val="18"/>
        </w:rPr>
        <w:t>图 4  岗位能力图谱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8E1DE"/>
          <w:left w:val="single" w:sz="6" w:space="0" w:color="D8E1DE"/>
          <w:bottom w:val="single" w:sz="6" w:space="0" w:color="D8E1DE"/>
          <w:right w:val="single" w:sz="6" w:space="0" w:color="D8E1DE"/>
          <w:insideH w:val="single" w:sz="6" w:space="0" w:color="D8E1DE"/>
          <w:insideV w:val="single" w:sz="6" w:space="0" w:color="D8E1DE"/>
        </w:tblBorders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7F5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63F3A"/>
                <w:sz w:val="18"/>
              </w:rPr>
              <w:t>操作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7F5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63F3A"/>
                <w:sz w:val="18"/>
              </w:rPr>
              <w:t>功能说明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24313A"/>
                <w:sz w:val="18"/>
              </w:rPr>
              <w:t>等级切换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4313A"/>
                <w:sz w:val="18"/>
              </w:rPr>
              <w:t>按初级、中级、高级查看对应岗位任务和能力要求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24313A"/>
                <w:sz w:val="18"/>
              </w:rPr>
              <w:t>节点搜索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4313A"/>
                <w:sz w:val="18"/>
              </w:rPr>
              <w:t>按能力单元或能力点名称快速定位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24313A"/>
                <w:sz w:val="18"/>
              </w:rPr>
              <w:t>图谱缩放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4313A"/>
                <w:sz w:val="18"/>
              </w:rPr>
              <w:t>调整复杂关系的可见范围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24313A"/>
                <w:sz w:val="18"/>
              </w:rPr>
              <w:t>查看全量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4313A"/>
                <w:sz w:val="18"/>
              </w:rPr>
              <w:t>恢复并展示完整任务、能力单元和能力点关系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24313A"/>
                <w:sz w:val="18"/>
              </w:rPr>
              <w:t>节点详情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4313A"/>
                <w:sz w:val="18"/>
              </w:rPr>
              <w:t>查看对象说明、标准依据、前驱后继和课程关联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24313A"/>
                <w:sz w:val="18"/>
              </w:rPr>
              <w:t>批量生成课程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4313A"/>
                <w:sz w:val="18"/>
              </w:rPr>
              <w:t>将当前等级典型工作任务转化为理实一体学习任务</w:t>
            </w:r>
          </w:p>
        </w:tc>
      </w:tr>
    </w:tbl>
    <w:p>
      <w:pPr>
        <w:spacing w:after="40"/>
      </w:pPr>
    </w:p>
    <w:p>
      <w:pPr>
        <w:spacing w:after="120" w:line="264" w:lineRule="auto"/>
        <w:jc w:val="left"/>
      </w:pPr>
      <w:r>
        <w:rPr>
          <w:rFonts w:ascii="Arial Unicode MS" w:hAnsi="Arial Unicode MS" w:eastAsia="Arial Unicode MS" w:cs="Arial Unicode MS"/>
          <w:color w:val="24313A"/>
        </w:rPr>
        <w:t>图谱中的职业编码和职业方向用于说明岗位的规范来源；岗位名称用于教学与就业场景表达。课程资源是能力点的关联资源，不属于职业标准原有层级。</w:t>
      </w:r>
    </w:p>
    <w:p>
      <w:pPr>
        <w:pStyle w:val="Heading1"/>
      </w:pPr>
      <w:r>
        <w:t>七、学习型工作任务与学习中心</w:t>
      </w:r>
    </w:p>
    <w:p>
      <w:pPr>
        <w:spacing w:after="120" w:line="264" w:lineRule="auto"/>
        <w:jc w:val="left"/>
      </w:pPr>
      <w:r>
        <w:rPr>
          <w:rFonts w:ascii="Arial Unicode MS" w:hAnsi="Arial Unicode MS" w:eastAsia="Arial Unicode MS" w:cs="Arial Unicode MS"/>
          <w:color w:val="24313A"/>
        </w:rPr>
        <w:t>用户可在岗位图谱中批量生成学习型工作任务。生成完成后，学习中心按岗位任务组织教材原页、课程目标、前后置任务、实训项目和评价证据。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5" name="Picture 5" descr="理实一体学习中心，包含教材目录、真实教材原页和智能助教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理实一体学习中心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rFonts w:ascii="Arial Unicode MS" w:hAnsi="Arial Unicode MS" w:eastAsia="Arial Unicode MS" w:cs="Arial Unicode MS"/>
          <w:color w:val="66747D"/>
          <w:sz w:val="18"/>
        </w:rPr>
        <w:t>图 5  理实一体学习中心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24313A"/>
        </w:rPr>
        <w:t>左侧目录按任务或教材章节组织真实教材原页，并显示阅读进度。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24313A"/>
        </w:rPr>
        <w:t>中部阅读区提供教材页码、来源、缩放、伴读提要、章节检测和笔记。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24313A"/>
        </w:rPr>
        <w:t>右侧智能助教感知当前教材页、岗位能力和学习记录，可进行逐页伴读、岗位举例、启发式提问、岗位关联和学习路径规划。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24313A"/>
        </w:rPr>
        <w:t>章节检测记录作答结果与用时，并根据表现给出针对性学习陪伴。</w:t>
      </w:r>
    </w:p>
    <w:p>
      <w:pPr>
        <w:pStyle w:val="Heading1"/>
      </w:pPr>
      <w:r>
        <w:t>八、多角色协同实训</w:t>
      </w:r>
    </w:p>
    <w:p>
      <w:pPr>
        <w:spacing w:after="120" w:line="264" w:lineRule="auto"/>
        <w:jc w:val="left"/>
      </w:pPr>
      <w:r>
        <w:rPr>
          <w:rFonts w:ascii="Arial Unicode MS" w:hAnsi="Arial Unicode MS" w:eastAsia="Arial Unicode MS" w:cs="Arial Unicode MS"/>
          <w:color w:val="24313A"/>
        </w:rPr>
        <w:t>进入实训后，学生首先选择自己的主责角色。其余四个角色由智能体团队执行，学生可以查看、审核、退回或合并智能体产物。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6" name="Picture 6" descr="工业表面缺陷检测实训的五类角色选择页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多角色协同实训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rFonts w:ascii="Arial Unicode MS" w:hAnsi="Arial Unicode MS" w:eastAsia="Arial Unicode MS" w:cs="Arial Unicode MS"/>
          <w:color w:val="66747D"/>
          <w:sz w:val="18"/>
        </w:rPr>
        <w:t>图 6  多角色协同实训角色选择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8E1DE"/>
          <w:left w:val="single" w:sz="6" w:space="0" w:color="D8E1DE"/>
          <w:bottom w:val="single" w:sz="6" w:space="0" w:color="D8E1DE"/>
          <w:right w:val="single" w:sz="6" w:space="0" w:color="D8E1DE"/>
          <w:insideH w:val="single" w:sz="6" w:space="0" w:color="D8E1DE"/>
          <w:insideV w:val="single" w:sz="6" w:space="0" w:color="D8E1DE"/>
        </w:tblBorders>
      </w:tblPr>
      <w:tblGrid>
        <w:gridCol w:w="1800"/>
        <w:gridCol w:w="4560"/>
        <w:gridCol w:w="300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7F5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63F3A"/>
                <w:sz w:val="18"/>
              </w:rPr>
              <w:t>角色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7F5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63F3A"/>
                <w:sz w:val="18"/>
              </w:rPr>
              <w:t>职责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7F5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63F3A"/>
                <w:sz w:val="18"/>
              </w:rPr>
              <w:t>主责产物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24313A"/>
                <w:sz w:val="18"/>
              </w:rPr>
              <w:t>需求分析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4313A"/>
                <w:sz w:val="18"/>
              </w:rPr>
              <w:t>业务目标、验收规则、异常边界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4313A"/>
                <w:sz w:val="18"/>
              </w:rPr>
              <w:t>任务验收单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24313A"/>
                <w:sz w:val="18"/>
              </w:rPr>
              <w:t>数据处理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4313A"/>
                <w:sz w:val="18"/>
              </w:rPr>
              <w:t>样本检查、标注规范、数据划分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4313A"/>
                <w:sz w:val="18"/>
              </w:rPr>
              <w:t>数据报告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24313A"/>
                <w:sz w:val="18"/>
              </w:rPr>
              <w:t>算法开发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4313A"/>
                <w:sz w:val="18"/>
              </w:rPr>
              <w:t>模型配置、训练参数、推理流程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4313A"/>
                <w:sz w:val="18"/>
              </w:rPr>
              <w:t>训练配置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24313A"/>
                <w:sz w:val="18"/>
              </w:rPr>
              <w:t>测试验证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4313A"/>
                <w:sz w:val="18"/>
              </w:rPr>
              <w:t>精度、召回率、时延和异常样本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4313A"/>
                <w:sz w:val="18"/>
              </w:rPr>
              <w:t>评价报告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24313A"/>
                <w:sz w:val="18"/>
              </w:rPr>
              <w:t>部署交付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4313A"/>
                <w:sz w:val="18"/>
              </w:rPr>
              <w:t>环境、部署、操作与回滚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4313A"/>
                <w:sz w:val="18"/>
              </w:rPr>
              <w:t>部署指南</w:t>
            </w:r>
          </w:p>
        </w:tc>
      </w:tr>
    </w:tbl>
    <w:p>
      <w:pPr>
        <w:spacing w:after="40"/>
      </w:pPr>
    </w:p>
    <w:p>
      <w:pPr>
        <w:spacing w:after="120" w:line="264" w:lineRule="auto"/>
        <w:jc w:val="left"/>
      </w:pPr>
      <w:r>
        <w:rPr>
          <w:rFonts w:ascii="Arial Unicode MS" w:hAnsi="Arial Unicode MS" w:eastAsia="Arial Unicode MS" w:cs="Arial Unicode MS"/>
          <w:color w:val="24313A"/>
        </w:rPr>
        <w:t>角色可在项目过程中切换。切换后，新的主责角色由学生执行，原学生角色转为智能体协同角色，保证职责分工清晰。</w:t>
      </w:r>
    </w:p>
    <w:p>
      <w:pPr>
        <w:pStyle w:val="Heading1"/>
      </w:pPr>
      <w:r>
        <w:t>九、实训项目工作台</w:t>
      </w:r>
    </w:p>
    <w:p>
      <w:pPr>
        <w:spacing w:after="120" w:line="264" w:lineRule="auto"/>
        <w:jc w:val="left"/>
      </w:pPr>
      <w:r>
        <w:rPr>
          <w:rFonts w:ascii="Arial Unicode MS" w:hAnsi="Arial Unicode MS" w:eastAsia="Arial Unicode MS" w:cs="Arial Unicode MS"/>
          <w:color w:val="24313A"/>
        </w:rPr>
        <w:t>实训工作台以真实项目交付顺序组织任务。当前示例“工业表面缺陷检测”设置需求分析、算法设计、测试验证和部署优化四个步骤，前一步提交后解锁下一步。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7" name="Picture 7" descr="工业表面缺陷检测实训工作台，展示步骤、资源和交付表单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实训项目工作台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rFonts w:ascii="Arial Unicode MS" w:hAnsi="Arial Unicode MS" w:eastAsia="Arial Unicode MS" w:cs="Arial Unicode MS"/>
          <w:color w:val="66747D"/>
          <w:sz w:val="18"/>
        </w:rPr>
        <w:t>图 7  实训项目工作台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24313A"/>
        </w:rPr>
        <w:t>项目顶部显示业务场景、关联岗位任务、质量指标和当前主责角色。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24313A"/>
        </w:rPr>
        <w:t>左侧显示步骤进度和已加载的代码、数据、评测与优秀项目资源。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24313A"/>
        </w:rPr>
        <w:t>中部按步骤提供结构化交付表单，避免只提交笼统结论。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24313A"/>
        </w:rPr>
        <w:t>支持选择本地产物或载入实训样例；样例必须由学生核验后提交。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24313A"/>
        </w:rPr>
        <w:t>智能体产物需要经过人工审核，可执行批准、退回重做或合并。</w:t>
      </w:r>
    </w:p>
    <w:p>
      <w:pPr>
        <w:pStyle w:val="Heading1"/>
      </w:pPr>
      <w:r>
        <w:t>十、多智能体模拟面试</w:t>
      </w:r>
    </w:p>
    <w:p>
      <w:pPr>
        <w:spacing w:after="120" w:line="264" w:lineRule="auto"/>
        <w:jc w:val="left"/>
      </w:pPr>
      <w:r>
        <w:rPr>
          <w:rFonts w:ascii="Arial Unicode MS" w:hAnsi="Arial Unicode MS" w:eastAsia="Arial Unicode MS" w:cs="Arial Unicode MS"/>
          <w:color w:val="24313A"/>
        </w:rPr>
        <w:t>模拟面试通过算法、工程实践和系统设计三类面试官验证目标等级能力。联合面试模式下，面试官按题轮换；专项模式下，围绕某一能力域持续追问。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8" name="Picture 8" descr="岗位模拟面试页面，展示面试官阵容、题目和面试教练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多智能体模拟面试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rFonts w:ascii="Arial Unicode MS" w:hAnsi="Arial Unicode MS" w:eastAsia="Arial Unicode MS" w:cs="Arial Unicode MS"/>
          <w:color w:val="66747D"/>
          <w:sz w:val="18"/>
        </w:rPr>
        <w:t>图 8  多智能体模拟面试</w:t>
      </w:r>
    </w:p>
    <w:p>
      <w:pPr>
        <w:numPr>
          <w:ilvl w:val="0"/>
          <w:numId w:val="13"/>
        </w:numPr>
        <w:spacing w:after="100" w:line="276" w:lineRule="auto"/>
        <w:ind w:left="720" w:hanging="360"/>
      </w:pPr>
      <w:r>
        <w:rPr>
          <w:rFonts w:ascii="Arial Unicode MS" w:hAnsi="Arial Unicode MS" w:eastAsia="Arial Unicode MS" w:cs="Arial Unicode MS"/>
          <w:color w:val="24313A"/>
        </w:rPr>
        <w:t>选择面试官模式和目标岗位等级。</w:t>
      </w:r>
    </w:p>
    <w:p>
      <w:pPr>
        <w:numPr>
          <w:ilvl w:val="0"/>
          <w:numId w:val="13"/>
        </w:numPr>
        <w:spacing w:after="100" w:line="276" w:lineRule="auto"/>
        <w:ind w:left="720" w:hanging="360"/>
      </w:pPr>
      <w:r>
        <w:rPr>
          <w:rFonts w:ascii="Arial Unicode MS" w:hAnsi="Arial Unicode MS" w:eastAsia="Arial Unicode MS" w:cs="Arial Unicode MS"/>
          <w:color w:val="24313A"/>
        </w:rPr>
        <w:t>阅读题目、题型、考察重点和作答要求。</w:t>
      </w:r>
    </w:p>
    <w:p>
      <w:pPr>
        <w:numPr>
          <w:ilvl w:val="0"/>
          <w:numId w:val="13"/>
        </w:numPr>
        <w:spacing w:after="100" w:line="276" w:lineRule="auto"/>
        <w:ind w:left="720" w:hanging="360"/>
      </w:pPr>
      <w:r>
        <w:rPr>
          <w:rFonts w:ascii="Arial Unicode MS" w:hAnsi="Arial Unicode MS" w:eastAsia="Arial Unicode MS" w:cs="Arial Unicode MS"/>
          <w:color w:val="24313A"/>
        </w:rPr>
        <w:t>按业务目标、技术方案、量化指标、风险和证据组织回答。</w:t>
      </w:r>
    </w:p>
    <w:p>
      <w:pPr>
        <w:numPr>
          <w:ilvl w:val="0"/>
          <w:numId w:val="13"/>
        </w:numPr>
        <w:spacing w:after="100" w:line="276" w:lineRule="auto"/>
        <w:ind w:left="720" w:hanging="360"/>
      </w:pPr>
      <w:r>
        <w:rPr>
          <w:rFonts w:ascii="Arial Unicode MS" w:hAnsi="Arial Unicode MS" w:eastAsia="Arial Unicode MS" w:cs="Arial Unicode MS"/>
          <w:color w:val="24313A"/>
        </w:rPr>
        <w:t>提交回答后查看命中要点、缺失要点和下一题自适应方向。</w:t>
      </w:r>
    </w:p>
    <w:p>
      <w:pPr>
        <w:numPr>
          <w:ilvl w:val="0"/>
          <w:numId w:val="13"/>
        </w:numPr>
        <w:spacing w:after="100" w:line="276" w:lineRule="auto"/>
        <w:ind w:left="720" w:hanging="360"/>
      </w:pPr>
      <w:r>
        <w:rPr>
          <w:rFonts w:ascii="Arial Unicode MS" w:hAnsi="Arial Unicode MS" w:eastAsia="Arial Unicode MS" w:cs="Arial Unicode MS"/>
          <w:color w:val="24313A"/>
        </w:rPr>
        <w:t>面试结束后查看能力诊断、对应教材和后续学习建议。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  <w:tblBorders>
          <w:top w:val="single" w:sz="0" w:space="0" w:color="FBF3E3"/>
          <w:left w:val="single" w:sz="0" w:space="0" w:color="FBF3E3"/>
          <w:bottom w:val="single" w:sz="0" w:space="0" w:color="FBF3E3"/>
          <w:right w:val="single" w:sz="0" w:space="0" w:color="FBF3E3"/>
          <w:insideH w:val="single" w:sz="0" w:space="0" w:color="FBF3E3"/>
          <w:insideV w:val="single" w:sz="0" w:space="0" w:color="FBF3E3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shd w:fill="FBF3E3"/>
          </w:tcPr>
          <w:p>
            <w:pPr>
              <w:spacing w:after="60"/>
            </w:pPr>
            <w:r>
              <w:rPr>
                <w:rFonts w:ascii="Arial Unicode MS" w:hAnsi="Arial Unicode MS" w:eastAsia="Arial Unicode MS" w:cs="Arial Unicode MS"/>
                <w:b/>
                <w:color w:val="C9973A"/>
                <w:sz w:val="19"/>
              </w:rPr>
              <w:t>评分边界</w:t>
            </w:r>
          </w:p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color w:val="24313A"/>
                <w:sz w:val="20"/>
              </w:rPr>
              <w:t>“智能助教·面试教练”只提供答题结构、示范和改进建议，不参与评分。评分依据来自面试题绑定的评价要点及用户实际回答。</w:t>
            </w:r>
          </w:p>
        </w:tc>
      </w:tr>
    </w:tbl>
    <w:p>
      <w:pPr>
        <w:spacing w:after="40"/>
      </w:pPr>
    </w:p>
    <w:p>
      <w:pPr>
        <w:pStyle w:val="Heading1"/>
      </w:pPr>
      <w:r>
        <w:t>十一、个人成长档案</w:t>
      </w:r>
    </w:p>
    <w:p>
      <w:pPr>
        <w:spacing w:after="120" w:line="264" w:lineRule="auto"/>
        <w:jc w:val="left"/>
      </w:pPr>
      <w:r>
        <w:rPr>
          <w:rFonts w:ascii="Arial Unicode MS" w:hAnsi="Arial Unicode MS" w:eastAsia="Arial Unicode MS" w:cs="Arial Unicode MS"/>
          <w:color w:val="24313A"/>
        </w:rPr>
        <w:t>个人成长档案统一沉淀教材进度、有效证据、能力状态、个人记忆、面试记录和证据时间线。用户可从档案继续学习路径或再次参加面试。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9" name="Picture 9" descr="个人成长档案页面，展示学习指标、智能体记忆和学习证据时间线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个人成长档案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rFonts w:ascii="Arial Unicode MS" w:hAnsi="Arial Unicode MS" w:eastAsia="Arial Unicode MS" w:cs="Arial Unicode MS"/>
          <w:color w:val="66747D"/>
          <w:sz w:val="18"/>
        </w:rPr>
        <w:t>图 9  个人成长档案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8E1DE"/>
          <w:left w:val="single" w:sz="6" w:space="0" w:color="D8E1DE"/>
          <w:bottom w:val="single" w:sz="6" w:space="0" w:color="D8E1DE"/>
          <w:right w:val="single" w:sz="6" w:space="0" w:color="D8E1DE"/>
          <w:insideH w:val="single" w:sz="6" w:space="0" w:color="D8E1DE"/>
          <w:insideV w:val="single" w:sz="6" w:space="0" w:color="D8E1DE"/>
        </w:tblBorders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7F5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63F3A"/>
                <w:sz w:val="18"/>
              </w:rPr>
              <w:t>模块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7F5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63F3A"/>
                <w:sz w:val="18"/>
              </w:rPr>
              <w:t>功能说明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24313A"/>
                <w:sz w:val="18"/>
              </w:rPr>
              <w:t>成长指标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4313A"/>
                <w:sz w:val="18"/>
              </w:rPr>
              <w:t>显示教材进度、有效证据、已验证能力和待验证能力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24313A"/>
                <w:sz w:val="18"/>
              </w:rPr>
              <w:t>个人记忆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4313A"/>
                <w:sz w:val="18"/>
              </w:rPr>
              <w:t>记录目标岗位、近期重点和学习偏好，支持编辑与删除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24313A"/>
                <w:sz w:val="18"/>
              </w:rPr>
              <w:t>历史面试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4313A"/>
                <w:sz w:val="18"/>
              </w:rPr>
              <w:t>保存整场面试记录、诊断和岗位建议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24313A"/>
                <w:sz w:val="18"/>
              </w:rPr>
              <w:t>证据时间线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4313A"/>
                <w:sz w:val="18"/>
              </w:rPr>
              <w:t>按时间展示阅读、检测、实训和面试证据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24313A"/>
                <w:sz w:val="18"/>
              </w:rPr>
              <w:t>能力状态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4313A"/>
                <w:sz w:val="18"/>
              </w:rPr>
              <w:t>区分未学习、学习中、待验证、已验证和需要巩固</w:t>
            </w:r>
          </w:p>
        </w:tc>
      </w:tr>
    </w:tbl>
    <w:p>
      <w:pPr>
        <w:spacing w:after="40"/>
      </w:pPr>
    </w:p>
    <w:p>
      <w:pPr>
        <w:pStyle w:val="Heading1"/>
      </w:pPr>
      <w:r>
        <w:t>十二、业务规则与功能边界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8E1DE"/>
          <w:left w:val="single" w:sz="6" w:space="0" w:color="D8E1DE"/>
          <w:bottom w:val="single" w:sz="6" w:space="0" w:color="D8E1DE"/>
          <w:right w:val="single" w:sz="6" w:space="0" w:color="D8E1DE"/>
          <w:insideH w:val="single" w:sz="6" w:space="0" w:color="D8E1DE"/>
          <w:insideV w:val="single" w:sz="6" w:space="0" w:color="D8E1DE"/>
        </w:tblBorders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7F5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63F3A"/>
                <w:sz w:val="18"/>
              </w:rPr>
              <w:t>规则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7F5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63F3A"/>
                <w:sz w:val="18"/>
              </w:rPr>
              <w:t>说明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24313A"/>
                <w:sz w:val="18"/>
              </w:rPr>
              <w:t>生命周期门控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4313A"/>
                <w:sz w:val="18"/>
              </w:rPr>
              <w:t>未完成岗位分析时不生成岗位、课程、面试等派生结果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24313A"/>
                <w:sz w:val="18"/>
              </w:rPr>
              <w:t>课程生成门控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4313A"/>
                <w:sz w:val="18"/>
              </w:rPr>
              <w:t>课程由典型工作任务转化生成，不提供脱离岗位任务的默认课程结果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24313A"/>
                <w:sz w:val="18"/>
              </w:rPr>
              <w:t>阅读不等于掌握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4313A"/>
                <w:sz w:val="18"/>
              </w:rPr>
              <w:t>教材访问只记录学习中，不能直接把能力标记为已验证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24313A"/>
                <w:sz w:val="18"/>
              </w:rPr>
              <w:t>高效力证据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4313A"/>
                <w:sz w:val="18"/>
              </w:rPr>
              <w:t>实训或面试通过后，相关能力才进入已验证状态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24313A"/>
                <w:sz w:val="18"/>
              </w:rPr>
              <w:t>证据优先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4313A"/>
                <w:sz w:val="18"/>
              </w:rPr>
              <w:t>系统保留岗位、任务、能力和来源，不展示无法可靠证明的岗位匹配比例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24313A"/>
                <w:sz w:val="18"/>
              </w:rPr>
              <w:t>本地运行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4313A"/>
                <w:sz w:val="18"/>
              </w:rPr>
              <w:t>当前版本不调用在线大模型、真实招聘接口或 GPU 训练环境</w:t>
            </w:r>
          </w:p>
        </w:tc>
      </w:tr>
    </w:tbl>
    <w:p>
      <w:pPr>
        <w:spacing w:after="40"/>
      </w:pPr>
    </w:p>
    <w:p>
      <w:pPr>
        <w:spacing w:after="120" w:line="264" w:lineRule="auto"/>
        <w:jc w:val="left"/>
      </w:pPr>
      <w:r>
        <w:rPr>
          <w:rFonts w:ascii="Arial Unicode MS" w:hAnsi="Arial Unicode MS" w:eastAsia="Arial Unicode MS" w:cs="Arial Unicode MS"/>
          <w:color w:val="24313A"/>
        </w:rPr>
        <w:t>系统中的岗位名称、课程转化结果和实训任务用于教学场景表达。正式职业、职业方向和职业编码以对应版本的职业标准与职业分类资料为依据。</w:t>
      </w:r>
    </w:p>
    <w:p>
      <w:pPr>
        <w:pStyle w:val="Heading1"/>
      </w:pPr>
      <w:r>
        <w:t>十三、功能验收要点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24313A"/>
        </w:rPr>
        <w:t>首次进入系统时，仅显示首页和岗位分析入口，不提前泄漏派生结果。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24313A"/>
        </w:rPr>
        <w:t>岗位分析能够展示资料配置、运行进度和分析完成后的能力图谱。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24313A"/>
        </w:rPr>
        <w:t>图谱能够切换等级、搜索节点、查看任务—能力单元—能力点关系。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24313A"/>
        </w:rPr>
        <w:t>学习任务必须由岗位任务转化生成，生成后可进入教材和实训资源。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24313A"/>
        </w:rPr>
        <w:t>教材原页、智能助教、章节检测和学习证据之间能够形成闭环。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24313A"/>
        </w:rPr>
        <w:t>实训能够选择主责角色，展示其他角色智能体并支持审核动作。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24313A"/>
        </w:rPr>
        <w:t>模拟面试能够切换面试官、记录回答、生成诊断和补强建议。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24313A"/>
        </w:rPr>
        <w:t>成长档案能够恢复学习进度、证据、记忆和历史面试记录。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24313A"/>
        </w:rPr>
        <w:t>开发入口与单文件离线入口均可正常打开并完成关键流程。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  <w:tblBorders>
          <w:top w:val="single" w:sz="0" w:space="0" w:color="F3F7F5"/>
          <w:left w:val="single" w:sz="0" w:space="0" w:color="F3F7F5"/>
          <w:bottom w:val="single" w:sz="0" w:space="0" w:color="F3F7F5"/>
          <w:right w:val="single" w:sz="0" w:space="0" w:color="F3F7F5"/>
          <w:insideH w:val="single" w:sz="0" w:space="0" w:color="F3F7F5"/>
          <w:insideV w:val="single" w:sz="0" w:space="0" w:color="F3F7F5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shd w:fill="F3F7F5"/>
          </w:tcPr>
          <w:p>
            <w:pPr>
              <w:spacing w:after="60"/>
            </w:pPr>
            <w:r>
              <w:rPr>
                <w:rFonts w:ascii="Arial Unicode MS" w:hAnsi="Arial Unicode MS" w:eastAsia="Arial Unicode MS" w:cs="Arial Unicode MS"/>
                <w:b/>
                <w:color w:val="2C6C62"/>
                <w:sz w:val="19"/>
              </w:rPr>
              <w:t>交付结论</w:t>
            </w:r>
          </w:p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color w:val="24313A"/>
                <w:sz w:val="20"/>
              </w:rPr>
              <w:t>视界学伴已形成岗位分析、学习与实训、模拟面试和成长档案相互连接的完整功能链。当前版本适用于本地展示、教学研讨、功能验证和后续系统化建设。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</w:pPr>
    <w:r>
      <w:rPr>
        <w:rFonts w:ascii="Arial Unicode MS" w:hAnsi="Arial Unicode MS" w:eastAsia="Arial Unicode MS" w:cs="Arial Unicode MS"/>
        <w:color w:val="66747D"/>
        <w:sz w:val="17"/>
      </w:rPr>
      <w:t xml:space="preserve">第 </w:t>
    </w:r>
    <w:r>
      <w:rPr>
        <w:rFonts w:ascii="Arial Unicode MS" w:hAnsi="Arial Unicode MS" w:eastAsia="Arial Unicode MS" w:cs="Arial Unicode MS"/>
        <w:color w:val="66747D"/>
        <w:sz w:val="17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Arial Unicode MS" w:hAnsi="Arial Unicode MS" w:eastAsia="Arial Unicode MS" w:cs="Arial Unicode MS"/>
        <w:color w:val="66747D"/>
        <w:sz w:val="17"/>
      </w:rPr>
      <w:t xml:space="preserve"> 页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right"/>
      <w:pBdr>
        <w:bottom w:val="single" w:sz="4" w:space="4" w:color="D8E1DE"/>
      </w:pBdr>
    </w:pPr>
    <w:r>
      <w:rPr>
        <w:rFonts w:ascii="Arial Unicode MS" w:hAnsi="Arial Unicode MS" w:eastAsia="Arial Unicode MS" w:cs="Arial Unicode MS"/>
        <w:color w:val="66747D"/>
        <w:sz w:val="17"/>
      </w:rPr>
      <w:t>视界学伴  |  功能说明书  |  V1.0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264" w:lineRule="auto"/>
    </w:pPr>
    <w:rPr>
      <w:rFonts w:ascii="Arial Unicode MS" w:hAnsi="Arial Unicode MS" w:eastAsia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C6C6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C6C6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63F3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/>
      <w:b/>
      <w:color w:val="163F3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</w:pPr>
    <w:rPr>
      <w:rFonts w:asciiTheme="majorHAnsi" w:eastAsiaTheme="majorEastAsia" w:hAnsiTheme="majorHAnsi" w:cstheme="majorBidi" w:ascii="Arial Unicode MS" w:hAnsi="Arial Unicode MS" w:eastAsia="Arial Unicode MS"/>
      <w:i/>
      <w:iCs/>
      <w:color w:val="66747D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76" w:lineRule="auto"/>
      <w:ind w:left="720" w:hanging="360"/>
      <w:contextualSpacing/>
    </w:pPr>
    <w:rPr>
      <w:rFonts w:ascii="Arial Unicode MS" w:hAnsi="Arial Unicode MS" w:eastAsia="Arial Unicode M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 w:line="276" w:lineRule="auto"/>
      <w:ind w:left="720" w:hanging="360"/>
      <w:contextualSpacing/>
    </w:pPr>
    <w:rPr>
      <w:rFonts w:ascii="Arial Unicode MS" w:hAnsi="Arial Unicode MS" w:eastAsia="Arial Unicode M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Caption">
    <w:name w:val="Figure Caption"/>
    <w:pPr>
      <w:keepNext w:val="0"/>
      <w:spacing w:before="80" w:after="200"/>
      <w:jc w:val="center"/>
    </w:pPr>
    <w:rPr>
      <w:rFonts w:ascii="Arial Unicode MS" w:hAnsi="Arial Unicode MS" w:eastAsia="Arial Unicode MS"/>
      <w:color w:val="66747D"/>
      <w:sz w:val="18"/>
    </w:rPr>
  </w:style>
  <w:style w:type="paragraph" w:customStyle="1" w:styleId="SourceNote">
    <w:name w:val="Source Note"/>
    <w:pPr>
      <w:spacing w:before="80" w:after="80"/>
    </w:pPr>
    <w:rPr>
      <w:rFonts w:ascii="Arial Unicode MS" w:hAnsi="Arial Unicode MS" w:eastAsia="Arial Unicode MS"/>
      <w:color w:val="66747D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视界学伴功能说明书</dc:title>
  <dc:subject>计算机视觉岗位能力成长系统的功能、操作流程与业务规则</dc:subject>
  <dc:creator>系统建设组</dc:creator>
  <cp:keywords>视界学伴,计算机视觉,岗位能力,理实一体,智能助教</cp:keywords>
  <dc:description>正式交付文档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