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f1a5fc7daae6fd336d591a066f0e257da728b8"/>
    <w:p>
      <w:pPr>
        <w:pStyle w:val="Heading1"/>
      </w:pPr>
      <w:r>
        <w:t xml:space="preserve">Theology, or Theological Observations on the Summa of St. Thomas, Vol. IV On Faith, Hope and Charity — Q. II Obs. II (excerpt), Q. VI Obs. II (entire), Q. VII Obs. III–IV (excerpts); with the Mechelen Recollect theses of 9 August 1768 (satellite)</w:t>
      </w:r>
    </w:p>
    <w:p>
      <w:pPr>
        <w:pStyle w:val="FirstParagraph"/>
      </w:pPr>
      <w:r>
        <w:rPr>
          <w:bCs/>
          <w:b/>
        </w:rPr>
        <w:t xml:space="preserve">Charles-Ghislain Daelman of Mons, Doctor-Regent and Royal Professor of Sacred Theology in the University of Louvain, President of Adrian VI College — Antwerp, Jacobus Bernardus Jouret, 1735; printed pp. 13–15, 174–178, 227, 231, 238. Satellite: Theological theses on faith, hope, charity and religion, under Fr. Leonard Maes O.F.M. Rec., defended at Mechelen 9 August 1768, printed at Louvain by Joannes Jacobs, pp. 1–2, 6</w:t>
      </w:r>
    </w:p>
    <w:p>
      <w:pPr>
        <w:pStyle w:val="BodyText"/>
      </w:pPr>
      <w:r>
        <w:rPr>
          <w:iCs/>
          <w:i/>
        </w:rPr>
        <w:t xml:space="preserve">Translated 1:1 from the diplomatic transcription. Marginal lemmata</w:t>
      </w:r>
      <w:r>
        <w:t xml:space="preserve"> </w:t>
      </w:r>
      <w:r>
        <w:t xml:space="preserve">{marg. …}</w:t>
      </w:r>
      <w:r>
        <w:t xml:space="preserve"> </w:t>
      </w:r>
      <w:r>
        <w:rPr>
          <w:iCs/>
          <w:i/>
        </w:rPr>
        <w:t xml:space="preserve">and marginal numbers are kept. Sic-notes follow the text.</w:t>
      </w:r>
    </w:p>
    <w:bookmarkStart w:id="20" w:name="block-a-q.-ii-obs.-ii-printed-1315"/>
    <w:p>
      <w:pPr>
        <w:pStyle w:val="Heading2"/>
      </w:pPr>
      <w:r>
        <w:t xml:space="preserve">BLOCK A — Q. II Obs. II, printed 13–15</w:t>
      </w:r>
    </w:p>
    <w:p>
      <w:pPr>
        <w:pStyle w:val="FirstParagraph"/>
      </w:pPr>
      <w:r>
        <w:t xml:space="preserve">{marg.</w:t>
      </w:r>
      <w:r>
        <w:t xml:space="preserve"> </w:t>
      </w:r>
      <w:r>
        <w:rPr>
          <w:iCs/>
          <w:i/>
        </w:rPr>
        <w:t xml:space="preserve">To be the material object of faith and to be of obligating faith are different things.</w:t>
      </w:r>
      <w:r>
        <w:t xml:space="preserve">} Further, it is to be noted that it is not the same thing to say</w:t>
      </w:r>
      <w:r>
        <w:t xml:space="preserve"> </w:t>
      </w:r>
      <w:r>
        <w:rPr>
          <w:iCs/>
          <w:i/>
        </w:rPr>
        <w:t xml:space="preserve">that is the material object of faith</w:t>
      </w:r>
      <w:r>
        <w:t xml:space="preserve"> </w:t>
      </w:r>
      <w:r>
        <w:t xml:space="preserve">and</w:t>
      </w:r>
      <w:r>
        <w:t xml:space="preserve"> </w:t>
      </w:r>
      <w:r>
        <w:rPr>
          <w:iCs/>
          <w:i/>
        </w:rPr>
        <w:t xml:space="preserve">that is of faith</w:t>
      </w:r>
      <w:r>
        <w:t xml:space="preserve">, namely of obligating faith [</w:t>
      </w:r>
      <w:r>
        <w:rPr>
          <w:iCs/>
          <w:i/>
        </w:rPr>
        <w:t xml:space="preserve">de fide obligante</w:t>
      </w:r>
      <w:r>
        <w:t xml:space="preserve">]: because for the first it suffices that on the side of the thing it be revealed by God, since then faith can be concerned with it; for the second there is required besides that what has been revealed by God be proposed by the Church as such, so that it may be of obligating faith, Catholic or universal, or at least that it be established from elsewhere that it has been revealed by God; and then it will be of obligating faith only in respect of those to whom the revelation is established. Hence the things which are revealed by God to particular persons are also of obligating faith, but not of Catholic or universal faith obligating all: and thus for the Prophets and for others the divine revelation was sometimes established otherwise than through the proposition of the Church, and those things were, in respect of them, of obligating faith.</w:t>
      </w:r>
    </w:p>
    <w:p>
      <w:pPr>
        <w:pStyle w:val="BodyText"/>
      </w:pPr>
      <w:r>
        <w:t xml:space="preserve">{marg.</w:t>
      </w:r>
      <w:r>
        <w:t xml:space="preserve"> </w:t>
      </w:r>
      <w:r>
        <w:rPr>
          <w:iCs/>
          <w:i/>
        </w:rPr>
        <w:t xml:space="preserve">Some things can cease to be of faith, and some can begin to be.</w:t>
      </w:r>
      <w:r>
        <w:t xml:space="preserve">} From these things it is clear in what sense it is said that something can now begin to be of faith, and can cease to be of obligating faith, even Catholic; not that what has been revealed by God can cease to be revealed, or that what has not been revealed by God can now be revealed for the whole Church, because no new revelations for the whole Church are awaited any longer, after the Holy Spirit revealed to the Apostles all the things which the Catholic Church holds in general, and taught them all truth: but because what was revealed by God before, and was not proposed as such by the Church, can be proposed as such, which has happened rather often in Councils, and this will consequently, after the proposition of the Council, be of obligating faith, which before was not such, although it had been revealed by God before. Conversely, something had been of obligating faith in the time of the Apos{p. 14}tles, to whom the revelation had been proposed, and afterwards it ceased to be of faith for want of a proposition on the part of the Church, by which she would have proposed it as revealed by God. But if after the Apostles something revealed could fail to be proposed by the Church as revealed, so it can come about in the course of time that what is now proposed as revealed by God may afterwards not be so established by that proposition, and thus cease to be of obligating faith, although it always remains revealed, and indeed in such a way that, when there shall be need, the Church, with the Holy Spirit assisting and enlightening her, can know it and propose it again to the faithful as revealed by God.</w:t>
      </w:r>
    </w:p>
    <w:p>
      <w:pPr>
        <w:pStyle w:val="BodyText"/>
      </w:pPr>
      <w:r>
        <w:t xml:space="preserve">{marg.</w:t>
      </w:r>
      <w:r>
        <w:t xml:space="preserve"> </w:t>
      </w:r>
      <w:r>
        <w:rPr>
          <w:iCs/>
          <w:i/>
        </w:rPr>
        <w:t xml:space="preserve">Whether anything is probably of faith.</w:t>
      </w:r>
      <w:r>
        <w:t xml:space="preserve">} Hence it also follows that there is nothing which is only probably of obligating faith: because by the very fact that it is not certainly established that it has been revealed by God, it is certain that it is not of obligating faith; indeed that it cannot be of faith, since faith assents only to those things which are certainly revealed by God. Yet in a good sense something could be admitted to be only probably of faith, namely if it be understood that it is probably revealed by God.</w:t>
      </w:r>
    </w:p>
    <w:p>
      <w:pPr>
        <w:pStyle w:val="BodyText"/>
      </w:pPr>
      <w:r>
        <w:t xml:space="preserve">{marg.</w:t>
      </w:r>
      <w:r>
        <w:t xml:space="preserve"> </w:t>
      </w:r>
      <w:r>
        <w:rPr>
          <w:iCs/>
          <w:i/>
        </w:rPr>
        <w:t xml:space="preserve">On the conclusion drawn from a premise of faith, etc.</w:t>
      </w:r>
      <w:r>
        <w:t xml:space="preserve">} Whether a conclusion which is deduced from two premises of faith, or from one of faith and another known by natural reason, is of obligating faith? The question seems rather one of name: for example, whether it is of faith that this child, whom it is established that I have baptized, is justified; that this host consecrated by me is to be adored, etc. That conclusion is deduced from these premises: everyone legitimately baptized is justified; this child is legitimately baptized; therefore he is justified. To which it must be answered: if, presupposing the premise of faith, we assent to the conclusion on account of the evidence of the consequence, as happens rather often in Scholastic practice, it will be only a theological assent, not one of faith; but if, supposing the premise and the consequence to be certain from reason, we are borne to the assent of the conclusion on account of the revelation of the premise of faith, then some say that there is there an assent of faith; but nevertheless that faith does not properly tend to this in{p. 15}dividual conclusion, that this child is justified, but to the very kind conformably to the general major premise, namely that a child legitimately baptized is justified, and so I am borne by the assent of faith not so much to the conclusion as to the major premise. And so of the rest; except that there is something particular in the following question, whether it is of faith that the modern Pontiff is the true Vicar of Christ and successor of St. Peter? On which something will be said in the treatise on the Pontiff; {marg.</w:t>
      </w:r>
      <w:r>
        <w:t xml:space="preserve"> </w:t>
      </w:r>
      <w:r>
        <w:rPr>
          <w:iCs/>
          <w:i/>
        </w:rPr>
        <w:t xml:space="preserve">The disparity as regards the conclusion about the Pontiff.</w:t>
      </w:r>
      <w:r>
        <w:t xml:space="preserve">} namely that in the Pontiff one has the judgment of the Church, which on this point does not seem able to be deceived, because it is more shameful to acknowledge a false Head than to have none; next, this man could define badly, and the Church could not work toward another; it is otherwise when there is none. Concerning a baptized child or a consecrated host, there is only a particular judgment; indeed it would not matter so much that in this particular case the Church should err.</w:t>
      </w:r>
    </w:p>
    <w:bookmarkEnd w:id="20"/>
    <w:bookmarkStart w:id="23" w:name="X4ba23104696be1cc0bf3fdc7d39cc9b68eebdb0"/>
    <w:p>
      <w:pPr>
        <w:pStyle w:val="Heading2"/>
      </w:pPr>
      <w:r>
        <w:t xml:space="preserve">BLOCK B — Q. VI Obs. II entire, printed 174–178</w:t>
      </w:r>
    </w:p>
    <w:bookmarkStart w:id="21" w:name="second-observation."/>
    <w:p>
      <w:pPr>
        <w:pStyle w:val="Heading3"/>
      </w:pPr>
      <w:r>
        <w:t xml:space="preserve">SECOND OBSERVATION.</w:t>
      </w:r>
    </w:p>
    <w:bookmarkEnd w:id="21"/>
    <w:bookmarkStart w:id="22" w:name="X56987c20d88fd8199ce60dcb430218bde18d38a"/>
    <w:p>
      <w:pPr>
        <w:pStyle w:val="Heading3"/>
      </w:pPr>
      <w:r>
        <w:rPr>
          <w:iCs/>
          <w:i/>
        </w:rPr>
        <w:t xml:space="preserve">By what right the Roman Pontiff succeeds St. Peter in the primacy.</w:t>
      </w:r>
    </w:p>
    <w:p>
      <w:pPr>
        <w:pStyle w:val="FirstParagraph"/>
      </w:pPr>
      <w:r>
        <w:t xml:space="preserve">It is to be noted that it is of faith that Peter had the primacy. Likewise that that Primacy endures in the Church. Likewise that that Primacy belongs to the Roman Bishop or Pontiff; but concerning this last it is asked whether it belongs to him by divine or by human right, which is not of faith, but can be disputed.</w:t>
      </w:r>
    </w:p>
    <w:p>
      <w:pPr>
        <w:pStyle w:val="BodyText"/>
      </w:pPr>
      <w:r>
        <w:t xml:space="preserve">{marg.</w:t>
      </w:r>
      <w:r>
        <w:t xml:space="preserve"> </w:t>
      </w:r>
      <w:r>
        <w:rPr>
          <w:iCs/>
          <w:i/>
        </w:rPr>
        <w:t xml:space="preserve">Some assert that the Roman Pontiff succeeds in the Primacy only by human right, against most others.</w:t>
      </w:r>
      <w:r>
        <w:t xml:space="preserve">} The book whose title is</w:t>
      </w:r>
      <w:r>
        <w:t xml:space="preserve"> </w:t>
      </w:r>
      <w:r>
        <w:rPr>
          <w:iCs/>
          <w:i/>
        </w:rPr>
        <w:t xml:space="preserve">l’Authorité du Pape reduitte aux justes bornes</w:t>
      </w:r>
      <w:r>
        <w:t xml:space="preserve"> </w:t>
      </w:r>
      <w:r>
        <w:t xml:space="preserve">holds that it belongs to him only by human right. The contrary is commonly held in Wiggers and Boudart and Steyaert. Because either St. Peter went to Rome by divine instinct, or, even if he had gone by human instinct, meanwhile the Holy Spirit, after St. Peter had there undertaken the Roman episcopate, ordained that the primacy should be annexed to the Roman episcopate, so that he who should succeed him in the Roman episcopate should succeed him also in the primacy.[1] Those things were done perceptibly at the beginning of the Church, as is set down in the Acts of the Apostles:</w:t>
      </w:r>
      <w:r>
        <w:t xml:space="preserve"> </w:t>
      </w:r>
      <w:r>
        <w:rPr>
          <w:iCs/>
          <w:i/>
        </w:rPr>
        <w:t xml:space="preserve">Separate me Paul and Barnabas.</w:t>
      </w:r>
    </w:p>
    <w:p>
      <w:pPr>
        <w:pStyle w:val="BodyText"/>
      </w:pPr>
      <w:r>
        <w:t xml:space="preserve">{marg.</w:t>
      </w:r>
      <w:r>
        <w:t xml:space="preserve"> </w:t>
      </w:r>
      <w:r>
        <w:rPr>
          <w:iCs/>
          <w:i/>
        </w:rPr>
        <w:t xml:space="preserve">The foundations of the former opinion are set out.</w:t>
      </w:r>
      <w:r>
        <w:t xml:space="preserve">} Those who hold that the primacy is annexed by human right alone say that this only was ordained and revealed by Christ or by the Holy Spirit, that that episcopate should have the primacy which the Church should have designated; and the Church designated from the beginning, after the death of St. Peter, or even together with Peter, the Roman episcopate; and so according to them it is of faith that the Roman Bishop has the primacy after the designation of the Church, and for as long as that designation shall last. Consequently the Church could change it, they say, because this is what is revealed, that that episcopate should have the primacy which the Church should have designated. Just as it is of faith that Ananias possessed the field which he sold, although he did not pos{p. 175}sess it by divine right but only by human right. If the holy Fathers are objected against them in favour of the contrary opinion, they will indeed concede that the authority or primacy itself which the Pontiff has is of divine institution, but that he does not possess it from divine institution.</w:t>
      </w:r>
    </w:p>
    <w:p>
      <w:pPr>
        <w:pStyle w:val="BodyText"/>
      </w:pPr>
      <w:r>
        <w:t xml:space="preserve">{marg.</w:t>
      </w:r>
      <w:r>
        <w:t xml:space="preserve"> </w:t>
      </w:r>
      <w:r>
        <w:rPr>
          <w:iCs/>
          <w:i/>
        </w:rPr>
        <w:t xml:space="preserve">The latter opinion is established.</w:t>
      </w:r>
      <w:r>
        <w:t xml:space="preserve">} But it seems altogether to be said that he possesses it by divine right, for the Primacy was never separated, even in the greatest crises. And in truth that point is of too great moment for Christ or the Holy Spirit not to have ordained it of themselves. For there were most urgent reasons on account of which the Church ought to have determined another, which nevertheless she never did; it is therefore a sign that it is understood to be of divine institution, about which human right can change nothing. In the first three centuries pagan Emperors were at Rome, and raged atrociously, so that the Pontiff always had to lie hidden, and those who lived in those times were put to martyrdom; yet transferring the primacy elsewhere was never thought of. Constantine strove to enlarge Constantinople so far that he called it</w:t>
      </w:r>
      <w:r>
        <w:t xml:space="preserve"> </w:t>
      </w:r>
      <w:r>
        <w:rPr>
          <w:iCs/>
          <w:i/>
        </w:rPr>
        <w:t xml:space="preserve">new Rome</w:t>
      </w:r>
      <w:r>
        <w:t xml:space="preserve">, and conferred upon it whatever belonged to the adornment of the city of Rome; but he did not think of the primacy for the Bishop of Constantinople, which would certainly have contributed to the magnificence of the city, and which, if it had been possible, he would easily have obtained from the Bishops. There were various Pontiffs who resided not at Rome but in Gaul for about seventy years, among whom some were unwilling to return; but not even then was separating the primacy from the Roman episcopate thought of; therefore etc.</w:t>
      </w:r>
    </w:p>
    <w:p>
      <w:pPr>
        <w:pStyle w:val="BodyText"/>
      </w:pPr>
      <w:r>
        <w:t xml:space="preserve">{marg.</w:t>
      </w:r>
      <w:r>
        <w:t xml:space="preserve"> </w:t>
      </w:r>
      <w:r>
        <w:rPr>
          <w:iCs/>
          <w:i/>
        </w:rPr>
        <w:t xml:space="preserve">The disadvantages of the former assertion.</w:t>
      </w:r>
      <w:r>
        <w:t xml:space="preserve">} Next, the opinion of the others could give greater occasion to schismatics, while on the one side some would stand for this man, others for that, wishing this and not that Bishop to be the one determined by the Church. Why then did he who succeeded Peter at Antioch in the episcopate not also succeed him in the primacy? Because Peter, in deserting Antioch, deserted the episcopate, but did not desert the primacy; rather, dying at Rome, he left it joined to the episcopate.</w:t>
      </w:r>
    </w:p>
    <w:p>
      <w:pPr>
        <w:pStyle w:val="BodyText"/>
      </w:pPr>
      <w:r>
        <w:t xml:space="preserve">{p. 176} Why does the Roman Bishop succeed Peter in the primacy, and not the other Bishops succeed the Apostles in that power of preaching the Gospel to every creature and in the other prerogatives? R. Because the primacy was, by the will of Christ, perpetual in the Church, and likewise necessary, as we proved before; but it was not necessary that all Bishops should succeed the Apostles in all those prerogatives which the Apostles had.</w:t>
      </w:r>
    </w:p>
    <w:p>
      <w:pPr>
        <w:pStyle w:val="BodyText"/>
      </w:pPr>
      <w:r>
        <w:t xml:space="preserve">How, on the opinion of the others, is what we said still true, namely that it is of faith that the primacy is annexed to the Roman episcopate? R. Because, although according to them this is only of human right, yet it is still revealed, they say, that Peter should have a successor, and that it should be the one whom the Church should determine; and it is established that the Church from the beginning determined the Roman Bishop. Nor does human right stand in the way, since many things are of faith in this manner, because they have now been revealed; for example, it is contained in Scripture that a field belonged to this man or to that, and this is equally of faith as revealed, yet that the field belonged to that man or to this was previously brought about by human right alone.</w:t>
      </w:r>
    </w:p>
    <w:p>
      <w:pPr>
        <w:pStyle w:val="BodyText"/>
      </w:pPr>
      <w:r>
        <w:t xml:space="preserve">{marg.</w:t>
      </w:r>
      <w:r>
        <w:t xml:space="preserve"> </w:t>
      </w:r>
      <w:r>
        <w:rPr>
          <w:iCs/>
          <w:i/>
        </w:rPr>
        <w:t xml:space="preserve">Obj.</w:t>
      </w:r>
      <w:r>
        <w:t xml:space="preserve">} Nor should you object that Rome could become heretical, and the Cardinals heretical, who would be unwilling to elect any but a heretical Pontiff. R. It is denied that this can happen. Because Christ will never permit his Church to fall into such great errors.</w:t>
      </w:r>
    </w:p>
    <w:p>
      <w:pPr>
        <w:pStyle w:val="BodyText"/>
      </w:pPr>
      <w:r>
        <w:t xml:space="preserve">{marg.</w:t>
      </w:r>
      <w:r>
        <w:t xml:space="preserve"> </w:t>
      </w:r>
      <w:r>
        <w:rPr>
          <w:iCs/>
          <w:i/>
        </w:rPr>
        <w:t xml:space="preserve">Obj.</w:t>
      </w:r>
      <w:r>
        <w:t xml:space="preserve">} Nor should you set against this that Rome could be swallowed up. R. Even if this be conceded, there could still be a Bishop of it, although the sea should cover Rome, just as there are bishoprics in the lands of the infidels. Next, from that it only follows that the Holy Spirit would then ordain otherwise, or at most that the Church could then designate another Primacy, although, so long as the Roman episcopate shall last, the primacy is annexed to it by divine right.</w:t>
      </w:r>
    </w:p>
    <w:p>
      <w:pPr>
        <w:pStyle w:val="BodyText"/>
      </w:pPr>
      <w:r>
        <w:t xml:space="preserve">Although it is of faith that, the designation of the Church being posited — even according to the others — the Pontiff or Roman Bishop legitimately elected has in general the pri{p. 177}macy, yet it is asked whether it is also of faith that this particular Roman Bishop has the primacy? And the question is almost one of name, just as whether it is of faith that this child, who has been baptized, is justified. R. It is better said that this is of faith only</w:t>
      </w:r>
      <w:r>
        <w:t xml:space="preserve"> </w:t>
      </w:r>
      <w:r>
        <w:rPr>
          <w:iCs/>
          <w:i/>
        </w:rPr>
        <w:t xml:space="preserve">in general</w:t>
      </w:r>
      <w:r>
        <w:t xml:space="preserve">, that a child legitimately baptized is justified, because this alone is revealed; of the particular child it is only a theological conclusion, resting on an evident consequence, and so also of this particular Pontiff. The only disparity is that the judgment of the Church, by which she acknowledges someone as legitimately elected Pontiff, is held to be infallible. There would also be a danger lest he should propose something evil to the Church, which she would then be bound to follow, since she holds him for her head.</w:t>
      </w:r>
    </w:p>
    <w:p>
      <w:pPr>
        <w:pStyle w:val="BodyText"/>
      </w:pPr>
      <w:r>
        <w:t xml:space="preserve">You will say: God will surely prevent him from defining anything heretical. R. Let us rather say that God will prevent such a man from being acknowledged, than that God will prevent the man who is thus to be Pope from erring; just as he gives signs for distinguishing true miracles from false. And so it is more certain that</w:t>
      </w:r>
      <w:r>
        <w:t xml:space="preserve"> </w:t>
      </w:r>
      <w:r>
        <w:rPr>
          <w:iCs/>
          <w:i/>
        </w:rPr>
        <w:t xml:space="preserve">this man is the legitimately elected Pontiff</w:t>
      </w:r>
      <w:r>
        <w:t xml:space="preserve"> </w:t>
      </w:r>
      <w:r>
        <w:t xml:space="preserve">than that</w:t>
      </w:r>
      <w:r>
        <w:t xml:space="preserve"> </w:t>
      </w:r>
      <w:r>
        <w:rPr>
          <w:iCs/>
          <w:i/>
        </w:rPr>
        <w:t xml:space="preserve">this man is legitimately baptized</w:t>
      </w:r>
      <w:r>
        <w:t xml:space="preserve">.</w:t>
      </w:r>
    </w:p>
    <w:p>
      <w:pPr>
        <w:pStyle w:val="BodyText"/>
      </w:pPr>
      <w:r>
        <w:t xml:space="preserve">{marg.</w:t>
      </w:r>
      <w:r>
        <w:t xml:space="preserve"> </w:t>
      </w:r>
      <w:r>
        <w:rPr>
          <w:iCs/>
          <w:i/>
        </w:rPr>
        <w:t xml:space="preserve">Obj.</w:t>
      </w:r>
      <w:r>
        <w:t xml:space="preserve">} Nor should you say: the Church can well be without a Pontiff, therefore she can be with a fictitious one. R. I deny the consequence, because a</w:t>
      </w:r>
      <w:r>
        <w:t xml:space="preserve"> </w:t>
      </w:r>
      <w:r>
        <w:rPr>
          <w:iCs/>
          <w:i/>
        </w:rPr>
        <w:t xml:space="preserve">nonexistent</w:t>
      </w:r>
      <w:r>
        <w:t xml:space="preserve"> </w:t>
      </w:r>
      <w:r>
        <w:t xml:space="preserve">one will define nothing evil, as a fictitious one will. Next, while there is none, the Church can work to have one. While there is a fictitious one, and it is unknown to the Church, there is no remedy; there will be no working to have a true one.</w:t>
      </w:r>
    </w:p>
    <w:p>
      <w:pPr>
        <w:pStyle w:val="BodyText"/>
      </w:pPr>
      <w:r>
        <w:t xml:space="preserve">Those who hold it to be of faith that this particular Pontiff is Primate cannot say that it is of Catholic or obligating faith, because it is permitted to hold the contrary. And thus they can solve that objection, namely as though there could not be schism without heresy; for they can answer that there can be schism without heresy, because if someone were unwilling to acknowledge this particular Pontiff, he would indeed break without cause the union of the members with the head, and the peace, and so would be repugnant to charity, yet he would not be a heretic, because he does not deny anything which is of Catholic or obligating faith, although some think it {p. 178} to be of faith or revealed; it is otherwise if they deny that the Roman Bishop in general has the primacy. Next, there could be schism without heresy if he did not indeed deny this Pontiff, but were unwilling to hold communion with him, or with his own Bishop, or with the other members of the Church, thinking that for certain causes he ought not to obey him on a certain point.</w:t>
      </w:r>
    </w:p>
    <w:p>
      <w:pPr>
        <w:pStyle w:val="BodyText"/>
      </w:pPr>
      <w:r>
        <w:t xml:space="preserve">From that primacy it results in the Roman Church that she is called the Mother and Mistress of all Churches by the Council of Trent, in various places cited in the index of matters of the Council of Trent, under the word</w:t>
      </w:r>
      <w:r>
        <w:t xml:space="preserve"> </w:t>
      </w:r>
      <w:r>
        <w:rPr>
          <w:iCs/>
          <w:i/>
        </w:rPr>
        <w:t xml:space="preserve">Ecclesia</w:t>
      </w:r>
      <w:r>
        <w:t xml:space="preserve">; and there it is clearer than in the profession of faith, where the Roman Church is called the Mother of all Churches, etc. But there is added</w:t>
      </w:r>
      <w:r>
        <w:t xml:space="preserve"> </w:t>
      </w:r>
      <w:r>
        <w:rPr>
          <w:iCs/>
          <w:i/>
        </w:rPr>
        <w:t xml:space="preserve">Catholic and Apostolic</w:t>
      </w:r>
      <w:r>
        <w:t xml:space="preserve">, which some could interpret of the universal Church, though wrongly.</w:t>
      </w:r>
    </w:p>
    <w:bookmarkEnd w:id="22"/>
    <w:bookmarkEnd w:id="23"/>
    <w:bookmarkStart w:id="24" w:name="block-c-q.-vii-obs.-iii-printed-227"/>
    <w:p>
      <w:pPr>
        <w:pStyle w:val="Heading2"/>
      </w:pPr>
      <w:r>
        <w:t xml:space="preserve">BLOCK C — Q. VII Obs. III, printed 227</w:t>
      </w:r>
    </w:p>
    <w:p>
      <w:pPr>
        <w:pStyle w:val="FirstParagraph"/>
      </w:pPr>
      <w:r>
        <w:t xml:space="preserve">It is objected: He holds a Catholic sense who holds that the Pontiff is inferior to a Council, or at least it is an opinion which can be maintained in a Catholic sense; therefore it can be maintained in a Catholic sense that it is lawful to appeal from the Pontiff to a General Council as to a superior. R. In the first place, commonly a General Council does not exist, therefore appeal cannot be made to it, nor is it {p. 227} reckoned to have accepted that cause. The dispersed Church does indeed accept the definitions of Pontiffs or even of Bishops; but she is infallible in accepting; there is in her a passive infallibility, but not an active one; she does not judge even in accepting; and thus the objection falls away, namely how they could have judged, or been judges, if they had to accept the Constitution</w:t>
      </w:r>
      <w:r>
        <w:t xml:space="preserve"> </w:t>
      </w:r>
      <w:r>
        <w:rPr>
          <w:iCs/>
          <w:i/>
        </w:rPr>
        <w:t xml:space="preserve">Unigenitus</w:t>
      </w:r>
      <w:r>
        <w:t xml:space="preserve">; for she defines nothing, does not make laws, does not answer doubts, much less accept appeals.</w:t>
      </w:r>
    </w:p>
    <w:bookmarkEnd w:id="24"/>
    <w:bookmarkStart w:id="25" w:name="X6f5f187a66d0f509ec5fb53533bb13e9008abf0"/>
    <w:p>
      <w:pPr>
        <w:pStyle w:val="Heading2"/>
      </w:pPr>
      <w:r>
        <w:t xml:space="preserve">BLOCK D — Q. VII Obs. IV, printed 231 and 238</w:t>
      </w:r>
    </w:p>
    <w:p>
      <w:pPr>
        <w:pStyle w:val="FirstParagraph"/>
      </w:pPr>
      <w:r>
        <w:t xml:space="preserve">{marg.</w:t>
      </w:r>
      <w:r>
        <w:t xml:space="preserve"> </w:t>
      </w:r>
      <w:r>
        <w:rPr>
          <w:iCs/>
          <w:i/>
        </w:rPr>
        <w:t xml:space="preserve">Which of those who reject it are to be called heretics.</w:t>
      </w:r>
      <w:r>
        <w:t xml:space="preserve">} Hence they can be called heretics: first, those who reject the whole Constitution in all its points, because in it there are certainly certain heretical propositions. Secondly, one who should reject only some ill-sounding proposition, because in this point also there is a rule of Faith; because by rejecting it, something of Faith will be acted against, namely that the Church cannot be deceived in this either,</w:t>
      </w:r>
      <w:r>
        <w:t xml:space="preserve"> </w:t>
      </w:r>
      <w:r>
        <w:rPr>
          <w:iCs/>
          <w:i/>
        </w:rPr>
        <w:t xml:space="preserve">hold the form of sound words.</w:t>
      </w:r>
      <w:r>
        <w:t xml:space="preserve"> </w:t>
      </w:r>
      <w:r>
        <w:t xml:space="preserve">All of which turn out more certain and clearer if we attend to the fact that the whole Church has acceded to that Constitution; for all the Bishops acceded tacitly through so many years, through Clement XI, through Innocent XIII, through Benedict XIII, the Roman Council and the College of Cardinals in Conclave; but now, if that Constitution were bad, against faith or morals, they ought to have spoken. Here it can also be noted in passing that the Roman Council under Benedict XIII certainly constitutes the Roman Church, and so certainly the Apostolic See. Nor does it stand in the way of the reception made by the Church that some have opposed themselves; because this always happened when some were condemned and cut off. Thus the Donatists, three hundred Bishops condemned, opposed themselves, whom Augustine overcame, saying that they were to be crushed. Arians by hundreds and by thousands opposed themselves to the Council of Nicaea. Many Calvinists and Lutherans opposed themselves to the Council of Trent, and were not heard. Indeed all General Councils have had op{p. 231}positions. At Trent not even the greater part of the Bishops was present; the rest consented tacitly. Does it follow from that that those Councils were not accepted by the whole Church, because some were condemned and cut off? — as there are also moderns who say that the often-mentioned Constitution is repugnant to the Gospel, condemns points of faith, etc.; which it is heretical to say of the whole Church, which accepted the Constitution, since she cannot err in faith. Assuredly, if this Constitution be not received by the Church, none is received, because none is so famously accepted. The Pontiff says that it has been received by the Church; who else than he himself can declare this? All concede this to the Pontiff, that it is his to promulgate the resolutions of the Church, as head of the Church. It is his, says St. Thomas, to publish the Symbol and to propose it to the Church, that it may be held by all with unshaken faith; otherwise every single man will be a Master in declaring the sense of the dispersed Church.</w:t>
      </w:r>
    </w:p>
    <w:p>
      <w:pPr>
        <w:pStyle w:val="BodyText"/>
      </w:pPr>
      <w:r>
        <w:t xml:space="preserve">You will object, 5.[2] The consent of the Bishops to the Constitution is not their consent as judges, because the Pontiff says that he does not wish his Bull to be examined. R. The Bishops are not forbidden to examine the propositions, so that they may judge together with the Pontiff, but the Bull. Nor does the Pontiff exclude all examination, but only while it has been received by the whole Church, as the Pontiff says in the letters</w:t>
      </w:r>
      <w:r>
        <w:t xml:space="preserve"> </w:t>
      </w:r>
      <w:r>
        <w:rPr>
          <w:iCs/>
          <w:i/>
        </w:rPr>
        <w:t xml:space="preserve">Pastoralis officii.</w:t>
      </w:r>
      <w:r>
        <w:t xml:space="preserve"> </w:t>
      </w:r>
      <w:r>
        <w:t xml:space="preserve">Where he signifies that the examination itself has been made, and so that it can be made. While therefore he urges that the Bull has been accepted by the Church, the Bishops ought to obey it as the law of the Superior; but it will not be the law of the Church unless their consent has acceded, as was said before; and to that extent they can examine, so that, with their votes acceding, it may be not only the law of the Superior but also of the Church. And so examination is forbidden again, as though it {p. 239} were required in order that it be an obligating law of the Superior; for certainly the Pontiff of himself has the power of commanding, and it belongs to subjects, even to Bishops, to obey, as such a law; but if their consent has not acceded, it will not be the law of the Church.</w:t>
      </w:r>
    </w:p>
    <w:bookmarkEnd w:id="25"/>
    <w:bookmarkStart w:id="29" w:name="X4d2e5a176dd71392845640d645fb42cdcd89702"/>
    <w:p>
      <w:pPr>
        <w:pStyle w:val="Heading2"/>
      </w:pPr>
      <w:r>
        <w:t xml:space="preserve">BLOCK E — Maes, Theses theologicae, Mechliniae 9 Aug. 1768</w:t>
      </w:r>
    </w:p>
    <w:bookmarkStart w:id="26" w:name="i-title-page-p.-1"/>
    <w:p>
      <w:pPr>
        <w:pStyle w:val="Heading3"/>
      </w:pPr>
      <w:r>
        <w:t xml:space="preserve">(i) Title page (p. 1)</w:t>
      </w:r>
    </w:p>
    <w:p>
      <w:pPr>
        <w:pStyle w:val="FirstParagraph"/>
      </w:pPr>
      <w:r>
        <w:t xml:space="preserve">THESES | THEOLOGICAL | ON | FAITH, HOPE, CHARITY | AND | RELIGION, |</w:t>
      </w:r>
      <w:r>
        <w:t xml:space="preserve"> </w:t>
      </w:r>
      <w:r>
        <w:rPr>
          <w:iCs/>
          <w:i/>
        </w:rPr>
        <w:t xml:space="preserve">WHICH, UNDER THE PRESIDENCY OF</w:t>
      </w:r>
      <w:r>
        <w:t xml:space="preserve"> </w:t>
      </w:r>
      <w:r>
        <w:t xml:space="preserve">| F. LEONARD MAES | of the Order of Friars Minor Recollect, | Lecturer in Sacred Theology, | WILL DEFEND | F. CORNELIUS VAN GOMPEL | F. ADRIAN SENGERS | OF THE SAME ORDER. |</w:t>
      </w:r>
      <w:r>
        <w:t xml:space="preserve"> </w:t>
      </w:r>
      <w:r>
        <w:rPr>
          <w:iCs/>
          <w:i/>
        </w:rPr>
        <w:t xml:space="preserve">At Mechlin, in the Convent of the Friars Minor Recollect,</w:t>
      </w:r>
      <w:r>
        <w:t xml:space="preserve"> </w:t>
      </w:r>
      <w:r>
        <w:t xml:space="preserve">|</w:t>
      </w:r>
      <w:r>
        <w:t xml:space="preserve"> </w:t>
      </w:r>
      <w:r>
        <w:rPr>
          <w:iCs/>
          <w:i/>
        </w:rPr>
        <w:t xml:space="preserve">on the 9th day of August 1768, at the 9th hour before,</w:t>
      </w:r>
      <w:r>
        <w:t xml:space="preserve"> </w:t>
      </w:r>
      <w:r>
        <w:t xml:space="preserve">|</w:t>
      </w:r>
      <w:r>
        <w:t xml:space="preserve"> </w:t>
      </w:r>
      <w:r>
        <w:rPr>
          <w:iCs/>
          <w:i/>
        </w:rPr>
        <w:t xml:space="preserve">and the 3rd after midday.</w:t>
      </w:r>
      <w:r>
        <w:t xml:space="preserve"> </w:t>
      </w:r>
      <w:r>
        <w:t xml:space="preserve">| [engraved cartouche with the Franciscan arms: a cross, the crossed arms of Christ and St Francis, and a scroll lettered SANCTI PATRIS N[OSTRI]] |</w:t>
      </w:r>
      <w:r>
        <w:t xml:space="preserve"> </w:t>
      </w:r>
      <w:r>
        <w:rPr>
          <w:iCs/>
          <w:i/>
        </w:rPr>
        <w:t xml:space="preserve">AT LOUVAIN,</w:t>
      </w:r>
      <w:r>
        <w:t xml:space="preserve"> </w:t>
      </w:r>
      <w:r>
        <w:t xml:space="preserve">From the press of JOANNES JACOBS, in the Tienen street | at the sign of the Black Key.</w:t>
      </w:r>
    </w:p>
    <w:bookmarkEnd w:id="26"/>
    <w:bookmarkStart w:id="27" w:name="Xf3e5e54b5eb90abce3178f1fb04f18eab509a96"/>
    <w:p>
      <w:pPr>
        <w:pStyle w:val="Heading3"/>
      </w:pPr>
      <w:r>
        <w:t xml:space="preserve">(ii) THESIS I. FIDES — §. I.</w:t>
      </w:r>
      <w:r>
        <w:t xml:space="preserve"> </w:t>
      </w:r>
      <w:r>
        <w:rPr>
          <w:iCs/>
          <w:i/>
        </w:rPr>
        <w:t xml:space="preserve">Ejus natura, objectum</w:t>
      </w:r>
      <w:r>
        <w:t xml:space="preserve"> </w:t>
      </w:r>
      <w:r>
        <w:t xml:space="preserve">(p. 2)</w:t>
      </w:r>
    </w:p>
    <w:p>
      <w:pPr>
        <w:pStyle w:val="FirstParagraph"/>
      </w:pPr>
      <w:r>
        <w:t xml:space="preserve">… The primary object of faith is</w:t>
      </w:r>
      <w:r>
        <w:t xml:space="preserve"> </w:t>
      </w:r>
      <w:r>
        <w:rPr>
          <w:iCs/>
          <w:i/>
        </w:rPr>
        <w:t xml:space="preserve">God</w:t>
      </w:r>
      <w:r>
        <w:t xml:space="preserve">, the secondary</w:t>
      </w:r>
      <w:r>
        <w:t xml:space="preserve"> </w:t>
      </w:r>
      <w:r>
        <w:rPr>
          <w:iCs/>
          <w:i/>
        </w:rPr>
        <w:t xml:space="preserve">every truth revealed by God</w:t>
      </w:r>
      <w:r>
        <w:t xml:space="preserve">: yet something is absolutely revealable which cannot be an object of faith. The formal object of faith is not the Divinity or the dominion of God, nor revelation, nor the authority of the Church; but the formal object is the Divine truthfulness alone, which nevertheless necessarily presupposes revelation as a condition. Yet the Church too has her part in the analysis of faith, not as though she were the motive of believing, but because she proposes what is credible, bearing an irreformable testimony concerning the Divine revelation. Hence, however much a private revelation may suffice for believing something by divine, and respectively obligatory, faith, yet it is in no way sufficient for anything to be believed by Catholic faith. For indeed an object, even though it be revealed, is not of Catholic faith obligating all, unless it has been proposed as such by the Catholic Church. Wherefore St. Augustine says, in the book against the Epistle of the Foundation, chapter 5:</w:t>
      </w:r>
      <w:r>
        <w:t xml:space="preserve"> </w:t>
      </w:r>
      <w:r>
        <w:rPr>
          <w:iCs/>
          <w:i/>
        </w:rPr>
        <w:t xml:space="preserve">I would not believe the Gospel, except the authority of the Catholic Church moved me</w:t>
      </w:r>
      <w:r>
        <w:t xml:space="preserve">, namely not as the formal reason of believing, but as a condition proposing the revealed objects, and therefore informed by the Divine truthfulness, into which faith is formally and ultimately resolved without the vice of a circle.</w:t>
      </w:r>
    </w:p>
    <w:bookmarkEnd w:id="27"/>
    <w:bookmarkStart w:id="28" w:name="X652c9a2668538af4fe32d04f1ef3ad45bb9adf9"/>
    <w:p>
      <w:pPr>
        <w:pStyle w:val="Heading3"/>
      </w:pPr>
      <w:r>
        <w:t xml:space="preserve">(iii) §. 5.</w:t>
      </w:r>
      <w:r>
        <w:t xml:space="preserve"> </w:t>
      </w:r>
      <w:r>
        <w:rPr>
          <w:iCs/>
          <w:i/>
        </w:rPr>
        <w:t xml:space="preserve">Concilium, &amp; Pontifex</w:t>
      </w:r>
      <w:r>
        <w:t xml:space="preserve"> </w:t>
      </w:r>
      <w:r>
        <w:t xml:space="preserve">— numbered paragraph 2 (pp. 6–7)</w:t>
      </w:r>
    </w:p>
    <w:p>
      <w:pPr>
        <w:numPr>
          <w:ilvl w:val="0"/>
          <w:numId w:val="1001"/>
        </w:numPr>
        <w:pStyle w:val="Compact"/>
      </w:pPr>
      <w:r>
        <w:t xml:space="preserve">The Roman Pontiff, legitimately elected, according to the irreformable word of Christ receives and possesses the keys of the kingdom of heaven, with the fullness of power of binding and loosing; for since the supreme power over the Church, promised in Matthew 16 and given in John 21 to Peter, was given not so much to dignify his person as to govern His spouse the Church, which is always to endure, it does not fail in his legitimate successor. Further, we believe by divine faith that Clement XIII is the legitimate successor of Peter, for whom Christ prayed that his faith fail not, so that consequently not only is there a hereditary supreme power of governing the universal Church, but the infallibility also is hereditary: for Peter received two privileges of not erring, at Christ’s prayer; one, by which faith should not fail in his person; the other, by which it should not fail in his office, when he was to confirm his brethren. Of these Privileges, therefore, one is</w:t>
      </w:r>
      <w:r>
        <w:t xml:space="preserve"> </w:t>
      </w:r>
      <w:r>
        <w:rPr>
          <w:iCs/>
          <w:i/>
        </w:rPr>
        <w:t xml:space="preserve">personal</w:t>
      </w:r>
      <w:r>
        <w:t xml:space="preserve">, the other</w:t>
      </w:r>
      <w:r>
        <w:t xml:space="preserve"> </w:t>
      </w:r>
      <w:r>
        <w:rPr>
          <w:iCs/>
          <w:i/>
        </w:rPr>
        <w:t xml:space="preserve">hereditary</w:t>
      </w:r>
      <w:r>
        <w:t xml:space="preserve">, never to be wanting to the legitimate successor of Peter. And the Pontiff is infalli{p. 7}ble when he speaks from the Chair, that is, when, having assumed the fullness of power, he definitively instructs the universal Church in faith and morals, in establishing dogmas, in condemning errors, in confirming Synods, in canonizing Saints, and in defining</w:t>
      </w:r>
      <w:r>
        <w:t xml:space="preserve"> </w:t>
      </w:r>
      <w:r>
        <w:rPr>
          <w:iCs/>
          <w:i/>
        </w:rPr>
        <w:t xml:space="preserve">what</w:t>
      </w:r>
      <w:r>
        <w:t xml:space="preserve"> </w:t>
      </w:r>
      <w:r>
        <w:t xml:space="preserve">or</w:t>
      </w:r>
      <w:r>
        <w:t xml:space="preserve"> </w:t>
      </w:r>
      <w:r>
        <w:rPr>
          <w:iCs/>
          <w:i/>
        </w:rPr>
        <w:t xml:space="preserve">of what kind</w:t>
      </w:r>
      <w:r>
        <w:t xml:space="preserve"> </w:t>
      </w:r>
      <w:r>
        <w:t xml:space="preserve">is the sense of some book, lest, the Pontiff erring, the gates of hell should be able to prevail against the most explicit testimony of Christ. The Roman Pontiff is also superior to every Council. To cast down this supreme authority of the Roman Pontiff,[3] nothing is solidly proved from the acts of the Councils of Pisa, of Constance, or of Basel. For to the first, R. that it regards the case of a schismatic or of a doubtful Pontiff. To the second a fivefold answer can be given: First, that the ordinances of the 4th and 5th sessions were not, in the mind of the Council, articles of faith, but mere</w:t>
      </w:r>
      <w:r>
        <w:t xml:space="preserve"> </w:t>
      </w:r>
      <w:r>
        <w:rPr>
          <w:iCs/>
          <w:i/>
        </w:rPr>
        <w:t xml:space="preserve">Synodal Constitutions.</w:t>
      </w:r>
      <w:r>
        <w:t xml:space="preserve"> </w:t>
      </w:r>
      <w:r>
        <w:t xml:space="preserve">Second, that in the 4th and 5th sessions it was not a General Council, but of one obedience only, headless, and not yet complete. Third, that the decrees of both sessions were not made</w:t>
      </w:r>
      <w:r>
        <w:t xml:space="preserve"> </w:t>
      </w:r>
      <w:r>
        <w:rPr>
          <w:iCs/>
          <w:i/>
        </w:rPr>
        <w:t xml:space="preserve">conciliarly.</w:t>
      </w:r>
      <w:r>
        <w:t xml:space="preserve"> </w:t>
      </w:r>
      <w:r>
        <w:t xml:space="preserve">Fourth, that they were not approved by a legitimate Pontiff. Fifth, that they regard the case of a Schism and of a doubtful Pontiff. But if nevertheless, with the most learned</w:t>
      </w:r>
      <w:r>
        <w:t xml:space="preserve"> </w:t>
      </w:r>
      <w:r>
        <w:rPr>
          <w:iCs/>
          <w:i/>
        </w:rPr>
        <w:t xml:space="preserve">Honoré Tournely</w:t>
      </w:r>
      <w:r>
        <w:t xml:space="preserve">, you should contend that in the Council of Basel, session 2, the Constance decrees concerning the supreme authority of Councils were confirmed, and that at that time the aforesaid Council of Basel was still legitimate at least up to the 16th session, you shall hear us answering. If anyone should object the personal errors of the Roman Pontiffs, let him read Augustine, the book on the unity of Baptism, chapter 16, where he will learn that, of whatever sort they may have been, they in no way prejudice the Church. Meanwhile we shall attempt to vindicate Honorius from</w:t>
      </w:r>
      <w:r>
        <w:t xml:space="preserve"> </w:t>
      </w:r>
      <w:r>
        <w:rPr>
          <w:iCs/>
          <w:i/>
        </w:rPr>
        <w:t xml:space="preserve">Monothelitism</w:t>
      </w:r>
      <w:r>
        <w:t xml:space="preserve">, Liberius from</w:t>
      </w:r>
      <w:r>
        <w:t xml:space="preserve"> </w:t>
      </w:r>
      <w:r>
        <w:rPr>
          <w:iCs/>
          <w:i/>
        </w:rPr>
        <w:t xml:space="preserve">Arianism</w:t>
      </w:r>
      <w:r>
        <w:t xml:space="preserve">, and Vigilius from</w:t>
      </w:r>
      <w:r>
        <w:t xml:space="preserve"> </w:t>
      </w:r>
      <w:r>
        <w:rPr>
          <w:iCs/>
          <w:i/>
        </w:rPr>
        <w:t xml:space="preserve">Nestorianism</w:t>
      </w:r>
      <w:r>
        <w:t xml:space="preserve">.</w:t>
      </w:r>
    </w:p>
    <w:bookmarkEnd w:id="28"/>
    <w:bookmarkEnd w:id="29"/>
    <w:bookmarkStart w:id="30" w:name="sic-notes"/>
    <w:p>
      <w:pPr>
        <w:pStyle w:val="Heading2"/>
      </w:pPr>
      <w:r>
        <w:t xml:space="preserve">Sic-notes</w:t>
      </w:r>
    </w:p>
    <w:p>
      <w:pPr>
        <w:numPr>
          <w:ilvl w:val="0"/>
          <w:numId w:val="1002"/>
        </w:numPr>
      </w:pPr>
      <w:r>
        <w:rPr>
          <w:bCs/>
          <w:b/>
        </w:rPr>
        <w:t xml:space="preserve">Daelman, printed 174 (PDF 186):</w:t>
      </w:r>
      <w:r>
        <w:t xml:space="preserve"> </w:t>
      </w:r>
      <w:r>
        <w:t xml:space="preserve">“</w:t>
      </w:r>
      <w:r>
        <w:t xml:space="preserve">ita ut ille, qui ei succederet in Episcopatu Romano, succederet. &amp; ei in primatu Illa sensibiliter fiebant.</w:t>
      </w:r>
      <w:r>
        <w:t xml:space="preserve">”</w:t>
      </w:r>
      <w:r>
        <w:t xml:space="preserve"> </w:t>
      </w:r>
      <w:r>
        <w:t xml:space="preserve">The full point stands one clause too early. Read:</w:t>
      </w:r>
      <w:r>
        <w:t xml:space="preserve"> </w:t>
      </w:r>
      <w:r>
        <w:t xml:space="preserve">“</w:t>
      </w:r>
      <w:r>
        <w:t xml:space="preserve">…succederet &amp; ei in primatu. Illa sensibiliter fiebant…</w:t>
      </w:r>
      <w:r>
        <w:t xml:space="preserve">”</w:t>
      </w:r>
      <w:r>
        <w:t xml:space="preserve">, that is,</w:t>
      </w:r>
      <w:r>
        <w:t xml:space="preserve"> </w:t>
      </w:r>
      <w:r>
        <w:t xml:space="preserve">“</w:t>
      </w:r>
      <w:r>
        <w:t xml:space="preserve">…should succeed him also in the primacy. Those things were done perceptibly…</w:t>
      </w:r>
      <w:r>
        <w:t xml:space="preserve">”</w:t>
      </w:r>
      <w:r>
        <w:t xml:space="preserve">. The sense requires the sentence to close after</w:t>
      </w:r>
      <w:r>
        <w:t xml:space="preserve"> </w:t>
      </w:r>
      <w:r>
        <w:t xml:space="preserve">“</w:t>
      </w:r>
      <w:r>
        <w:t xml:space="preserve">primatu</w:t>
      </w:r>
      <w:r>
        <w:t xml:space="preserve">”</w:t>
      </w:r>
      <w:r>
        <w:t xml:space="preserve">; the sentence beginning</w:t>
      </w:r>
      <w:r>
        <w:t xml:space="preserve"> </w:t>
      </w:r>
      <w:r>
        <w:t xml:space="preserve">“</w:t>
      </w:r>
      <w:r>
        <w:t xml:space="preserve">Illa sensibiliter fiebant</w:t>
      </w:r>
      <w:r>
        <w:t xml:space="preserve">”</w:t>
      </w:r>
      <w:r>
        <w:t xml:space="preserve"> </w:t>
      </w:r>
      <w:r>
        <w:t xml:space="preserve">is set with a capital, confirming the compositor’s intent. The translation above prints the corrected reading.</w:t>
      </w:r>
    </w:p>
    <w:p>
      <w:pPr>
        <w:numPr>
          <w:ilvl w:val="0"/>
          <w:numId w:val="1002"/>
        </w:numPr>
      </w:pPr>
      <w:r>
        <w:rPr>
          <w:bCs/>
          <w:b/>
        </w:rPr>
        <w:t xml:space="preserve">Daelman, printed 238 (PDF 250):</w:t>
      </w:r>
      <w:r>
        <w:t xml:space="preserve"> </w:t>
      </w:r>
      <w:r>
        <w:t xml:space="preserve">“</w:t>
      </w:r>
      <w:r>
        <w:t xml:space="preserve">Objicies 5.</w:t>
      </w:r>
      <w:r>
        <w:t xml:space="preserve">”</w:t>
      </w:r>
      <w:r>
        <w:t xml:space="preserve"> </w:t>
      </w:r>
      <w:r>
        <w:t xml:space="preserve">The numeral is set in the old-style figure that closely resembles a long s, and the machine OCR renders it</w:t>
      </w:r>
      <w:r>
        <w:t xml:space="preserve"> </w:t>
      </w:r>
      <w:r>
        <w:t xml:space="preserve">“</w:t>
      </w:r>
      <w:r>
        <w:t xml:space="preserve">§.</w:t>
      </w:r>
      <w:r>
        <w:t xml:space="preserve">”</w:t>
      </w:r>
      <w:r>
        <w:t xml:space="preserve"> </w:t>
      </w:r>
      <w:r>
        <w:t xml:space="preserve">It is the figure 5, continuing the series</w:t>
      </w:r>
      <w:r>
        <w:t xml:space="preserve"> </w:t>
      </w:r>
      <w:r>
        <w:t xml:space="preserve">“</w:t>
      </w:r>
      <w:r>
        <w:t xml:space="preserve">Obj. 1.</w:t>
      </w:r>
      <w:r>
        <w:t xml:space="preserve">”</w:t>
      </w:r>
      <w:r>
        <w:t xml:space="preserve"> </w:t>
      </w:r>
      <w:r>
        <w:t xml:space="preserve">(printed 231),</w:t>
      </w:r>
      <w:r>
        <w:t xml:space="preserve"> </w:t>
      </w:r>
      <w:r>
        <w:t xml:space="preserve">“</w:t>
      </w:r>
      <w:r>
        <w:t xml:space="preserve">Objicies 2.</w:t>
      </w:r>
      <w:r>
        <w:t xml:space="preserve">”</w:t>
      </w:r>
      <w:r>
        <w:t xml:space="preserve"> </w:t>
      </w:r>
      <w:r>
        <w:t xml:space="preserve">(printed 231), and following. It is rendered above as</w:t>
      </w:r>
      <w:r>
        <w:t xml:space="preserve"> </w:t>
      </w:r>
      <w:r>
        <w:t xml:space="preserve">“</w:t>
      </w:r>
      <w:r>
        <w:t xml:space="preserve">You will object, 5.</w:t>
      </w:r>
      <w:r>
        <w:t xml:space="preserve">”</w:t>
      </w:r>
    </w:p>
    <w:p>
      <w:pPr>
        <w:numPr>
          <w:ilvl w:val="0"/>
          <w:numId w:val="1002"/>
        </w:numPr>
      </w:pPr>
      <w:r>
        <w:rPr>
          <w:bCs/>
          <w:b/>
        </w:rPr>
        <w:t xml:space="preserve">Maes, p. 7:</w:t>
      </w:r>
      <w:r>
        <w:t xml:space="preserve"> </w:t>
      </w:r>
      <w:r>
        <w:t xml:space="preserve">“</w:t>
      </w:r>
      <w:r>
        <w:t xml:space="preserve">Romani Pon ificis authoritatem supremam</w:t>
      </w:r>
      <w:r>
        <w:t xml:space="preserve">”</w:t>
      </w:r>
      <w:r>
        <w:t xml:space="preserve">. The</w:t>
      </w:r>
      <w:r>
        <w:t xml:space="preserve"> </w:t>
      </w:r>
      <w:r>
        <w:rPr>
          <w:iCs/>
          <w:i/>
        </w:rPr>
        <w:t xml:space="preserve">t</w:t>
      </w:r>
      <w:r>
        <w:t xml:space="preserve"> </w:t>
      </w:r>
      <w:r>
        <w:t xml:space="preserve">of</w:t>
      </w:r>
      <w:r>
        <w:t xml:space="preserve"> </w:t>
      </w:r>
      <w:r>
        <w:t xml:space="preserve">“</w:t>
      </w:r>
      <w:r>
        <w:t xml:space="preserve">Pontificis</w:t>
      </w:r>
      <w:r>
        <w:t xml:space="preserve">”</w:t>
      </w:r>
      <w:r>
        <w:t xml:space="preserve"> </w:t>
      </w:r>
      <w:r>
        <w:t xml:space="preserve">has failed to print, leaving a blank of one letter’s width. Read</w:t>
      </w:r>
      <w:r>
        <w:t xml:space="preserve"> </w:t>
      </w:r>
      <w:r>
        <w:t xml:space="preserve">“</w:t>
      </w:r>
      <w:r>
        <w:t xml:space="preserve">Pontificis</w:t>
      </w:r>
      <w:r>
        <w:t xml:space="preserve">”</w:t>
      </w:r>
      <w:r>
        <w:t xml:space="preserve">, translated above as</w:t>
      </w:r>
      <w:r>
        <w:t xml:space="preserve"> </w:t>
      </w:r>
      <w:r>
        <w:t xml:space="preserve">“</w:t>
      </w:r>
      <w:r>
        <w:t xml:space="preserve">of the Roman Pontiff</w:t>
      </w:r>
      <w:r>
        <w:t xml:space="preserve">”</w:t>
      </w:r>
      <w:r>
        <w:t xml:space="preserve">.</w:t>
      </w:r>
    </w:p>
    <w:p>
      <w:pPr>
        <w:numPr>
          <w:ilvl w:val="0"/>
          <w:numId w:val="1002"/>
        </w:numPr>
      </w:pPr>
      <w:r>
        <w:rPr>
          <w:bCs/>
          <w:b/>
        </w:rPr>
        <w:t xml:space="preserve">Printed ERRATA (PDF 11).</w:t>
      </w:r>
      <w:r>
        <w:t xml:space="preserve"> </w:t>
      </w:r>
      <w:r>
        <w:t xml:space="preserve">No erratum in the list touches the pages translated here. The nearest entries are</w:t>
      </w:r>
      <w:r>
        <w:t xml:space="preserve"> </w:t>
      </w:r>
      <w:r>
        <w:t xml:space="preserve">“</w:t>
      </w:r>
      <w:r>
        <w:t xml:space="preserve">171. l. 12. proponi lege præponi</w:t>
      </w:r>
      <w:r>
        <w:t xml:space="preserve">”</w:t>
      </w:r>
      <w:r>
        <w:t xml:space="preserve"> </w:t>
      </w:r>
      <w:r>
        <w:t xml:space="preserve">and</w:t>
      </w:r>
      <w:r>
        <w:t xml:space="preserve"> </w:t>
      </w:r>
      <w:r>
        <w:t xml:space="preserve">“</w:t>
      </w:r>
      <w:r>
        <w:t xml:space="preserve">172. l. 33. simile lege simili</w:t>
      </w:r>
      <w:r>
        <w:t xml:space="preserve">”</w:t>
      </w:r>
      <w:r>
        <w:t xml:space="preserve">, both falling two and three pages before BLOCK B, and</w:t>
      </w:r>
      <w:r>
        <w:t xml:space="preserve"> </w:t>
      </w:r>
      <w:r>
        <w:t xml:space="preserve">“</w:t>
      </w:r>
      <w:r>
        <w:t xml:space="preserve">237. l. 35. propositio lege condemnationem</w:t>
      </w:r>
      <w:r>
        <w:t xml:space="preserve">”</w:t>
      </w:r>
      <w:r>
        <w:t xml:space="preserve">, falling one page before the second paragraph of BLOCK D. Recorded here for completeness, since the team brief asked that any erratum bearing on printed 174–178 be noted: there is none.</w:t>
      </w:r>
    </w:p>
    <w:bookmarkEnd w:id="30"/>
    <w:bookmarkStart w:id="31" w:name="closing-note"/>
    <w:p>
      <w:pPr>
        <w:pStyle w:val="Heading2"/>
      </w:pPr>
      <w:r>
        <w:t xml:space="preserve">Closing note</w:t>
      </w:r>
    </w:p>
    <w:p>
      <w:pPr>
        <w:pStyle w:val="FirstParagraph"/>
      </w:pPr>
      <w:r>
        <w:t xml:space="preserve">The Acts citation in Block B follows Daelman’s own wording,</w:t>
      </w:r>
      <w:r>
        <w:t xml:space="preserve"> </w:t>
      </w:r>
      <w:r>
        <w:t xml:space="preserve">“</w:t>
      </w:r>
      <w:r>
        <w:t xml:space="preserve">Separate me Paul and Barnabas</w:t>
      </w:r>
      <w:r>
        <w:t xml:space="preserve">”</w:t>
      </w:r>
      <w:r>
        <w:t xml:space="preserve"> </w:t>
      </w:r>
      <w:r>
        <w:t xml:space="preserve">(the Vulgate has Saul); the discrepancy is his, and is left as printed.</w:t>
      </w:r>
    </w:p>
    <w:p>
      <w:pPr>
        <w:pStyle w:val="BodyText"/>
      </w:pPr>
      <w:r>
        <w:rPr>
          <w:bCs/>
          <w:b/>
        </w:rPr>
        <w:t xml:space="preserve">Paragraphs straddling pages.</w:t>
      </w:r>
      <w:r>
        <w:t xml:space="preserve"> </w:t>
      </w:r>
      <w:r>
        <w:t xml:space="preserve">The paragraph begins on printed 226 = PDF 238; it is given here from its start. The first paragraph begins on printed 230 = PDF 242; it is given here from its start.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2026-09-04T19:35:24Z</dcterms:created>
  <dcterms:modified xsi:type="dcterms:W3CDTF">2026-09-04T19:35:24Z</dcterms:modified>
</cp:coreProperties>
</file>

<file path=docProps/custom.xml><?xml version="1.0" encoding="utf-8"?>
<Properties xmlns="http://schemas.openxmlformats.org/officeDocument/2006/custom-properties" xmlns:vt="http://schemas.openxmlformats.org/officeDocument/2006/docPropsVTypes"/>
</file>