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68cab6d62fb13fd9893085a66e365178cfece7"/>
    <w:p>
      <w:pPr>
        <w:pStyle w:val="Heading1"/>
      </w:pPr>
      <w:r>
        <w:t xml:space="preserve">De Theologia Generatim Commentarius in Sacram Theologiam — the Dogmatic-Facts Note (pp. 113–114) and the Censures Passage (p. 128) (</w:t>
      </w:r>
      <w:r>
        <w:rPr>
          <w:iCs/>
          <w:i/>
        </w:rPr>
        <w:t xml:space="preserve">Commentary on Theology in General</w:t>
      </w:r>
      <w:r>
        <w:t xml:space="preserve">)</w:t>
      </w:r>
    </w:p>
    <w:p>
      <w:pPr>
        <w:pStyle w:val="FirstParagraph"/>
      </w:pPr>
      <w:r>
        <w:rPr>
          <w:bCs/>
          <w:b/>
        </w:rPr>
        <w:t xml:space="preserve">Clemens Schrader, S.J., Pictaviis: Sumptibus Henrici Oudin, 1874</w:t>
      </w:r>
    </w:p>
    <w:p>
      <w:pPr>
        <w:pStyle w:val="BodyText"/>
      </w:pPr>
      <w:r>
        <w:rPr>
          <w:iCs/>
          <w:i/>
        </w:rPr>
        <w:t xml:space="preserve">English translation of the note on dogmatic facts spanning pp. 113–114 (the note Mazzella cites) and the censures passage of p. 128 with its third note, transcribed from the page images of the 1874 edition, with independent adversarial review; translated 1:1.</w:t>
      </w:r>
    </w:p>
    <w:p>
      <w:pPr>
        <w:pStyle w:val="BodyText"/>
      </w:pPr>
      <w:r>
        <w:t xml:space="preserve">Source: Clemens Schrader, S.J.,</w:t>
      </w:r>
      <w:r>
        <w:t xml:space="preserve"> </w:t>
      </w:r>
      <w:r>
        <w:rPr>
          <w:iCs/>
          <w:i/>
        </w:rPr>
        <w:t xml:space="preserve">De theologia generatim commentarius</w:t>
      </w:r>
      <w:r>
        <w:t xml:space="preserve"> </w:t>
      </w:r>
      <w:r>
        <w:t xml:space="preserve">(Paris 1874), printed pp. 113–114 and 128. Superscript note references are given as ^N. Page breaks marked {p. NNN}. Marginal rubrics as {marg. …}.</w:t>
      </w:r>
    </w:p>
    <w:bookmarkStart w:id="20" w:name="X826ef7de438788c7067f5591d9b24a1a38abad9"/>
    <w:p>
      <w:pPr>
        <w:pStyle w:val="Heading3"/>
      </w:pPr>
      <w:r>
        <w:t xml:space="preserve">Unit 1 — The dogmatic-facts footnote (note 4, printed pp. 113–114)</w:t>
      </w:r>
    </w:p>
    <w:p>
      <w:pPr>
        <w:pStyle w:val="FirstParagraph"/>
      </w:pPr>
      <w:r>
        <w:t xml:space="preserve">[body anchor] Now this seems certain from what has been established above ^2: that a divinely revealed truth is not contained in the conclusion, if the one premise, which is said to be certain by reason only, looks to something other than declaring what is contained in the other premise, which is revealed, whether by force of the wording ^3 or of the thing signified ^4.</w:t>
      </w:r>
    </w:p>
    <w:p>
      <w:pPr>
        <w:pStyle w:val="BodyText"/>
      </w:pPr>
      <w:r>
        <w:t xml:space="preserve">[notes 1–3 of p. 113 omitted]</w:t>
      </w:r>
    </w:p>
    <w:p>
      <w:pPr>
        <w:numPr>
          <w:ilvl w:val="0"/>
          <w:numId w:val="1001"/>
        </w:numPr>
        <w:pStyle w:val="Compact"/>
      </w:pPr>
      <w:r>
        <w:t xml:space="preserve">In like manner, whatever is comprehended of itself or formally in a thing revealed is reckoned revealed in itself and formally: thus, an effect being revealed, that cause is said to be revealed without which the effect can neither be nor be conceived; similarly, the principiate being revealed, the principle is revealed; one correlate, as they say, being revealed — say, the Father — the other also is revealed — say, the Son; further, in a revealed universal that particular is reckoned revealed which is contained in it formally and in itself: it is revealed that all the Apostles received the Holy Spirit, but Matthew was an Apostle (behold the major, in which what is comprehended formally and in itself is brought out by the minor), therefore the conclusion, Matthew received the Holy Spirit, is revealed; likewise, what is contained formally in a revealed genus or species, namely according to its formal parts, as the definition in the thing defined: thus of the man which Christ is revealed to be, it is revealed that he consists of soul and body; but not what is contained only virtually, namely according to those aspects which proceed from the virtue and potency of the parts, or which constitute another grade of being than the formal; hence, although in this discourse: Every man is risible; but Christ is a man; therefore Christ is risible, the one premise is</w:t>
      </w:r>
      <w:r>
        <w:t xml:space="preserve"> </w:t>
      </w:r>
      <w:r>
        <w:rPr>
          <w:iCs/>
          <w:i/>
        </w:rPr>
        <w:t xml:space="preserve">de fide</w:t>
      </w:r>
      <w:r>
        <w:t xml:space="preserve"> </w:t>
      </w:r>
      <w:r>
        <w:t xml:space="preserve">and the other naturally certain: yet because the latter is not contained in the former formally, it does not say anything which is comprehended in the very formal or metaphysical parts of man themselves, which make up his essence, but enunciates something which is distinguished from them, de-pends upon them and follows from them as act from potency: hence the conclusion is by no means reckoned revealed in itself, as, together with other most weighty theologians, teach Franc. Suares l. c. sec. 11. nn. 3. sqq., Joan. de Lugo l. c. sec. 13. nn. 279. sqq. nn. 298. sqq. But when among these same theologians it is disputed whether or not these singulars are to be believed</w:t>
      </w:r>
      <w:r>
        <w:t xml:space="preserve"> </w:t>
      </w:r>
      <w:r>
        <w:rPr>
          <w:iCs/>
          <w:i/>
        </w:rPr>
        <w:t xml:space="preserve">de fide</w:t>
      </w:r>
      <w:r>
        <w:t xml:space="preserve">: that this consecrated host is to be adored; that this baptized infant has been sanctified, and the like; on the ground that singulars of this sort are contained confusedly in revealed universals: it is manifest from what has been said that these cannot be believed by divine faith, since that confused comprehension, as they call it, in the universal, though truly revealed, does not suffice. For if the final conclusion be resolved, two propositions come forth: the one universal, the baptized person is sanctified, which is indeed revealed, and therefore to be believed; the other containing a singular fact, this infant is truly baptized, which is neither revealed, nor is it, as many with J. de Lugo observe, certain beyond fear [of the contrary]; the complexus of the two propositions therefore cannot simply be believed. The very same would have to be repeated of this conclusion or complexus: What has been defined by the Council of Trent must be believed by faith — were not the condition of the proposition by which the particular fact is enunciated a different one. The older theologians, to be sure, said that it too, as a particular, was confusedly comprehended in this universal which must be believed: whatever has been defined by a Council legitimately convoked and celebrated must be held by faith. Certainly, this universal is indeed to be believed; but in it there is contained, neither expressly nor virtually, this singular, that the Council of Trent was legitimately convoked and celebrated; nor is that singular evident of itself, nor certain to all Christ’s faithful through human authority beyond fear [of the contrary], as metaphysical certitude is wont to be; and yet, says J. de Lugo l. c., it must be held beyond fear [of the contrary], lest the authority of the Council of Trent be imperiled, and so that the things defined by it may be believed with divine faith; it is therefore not held except through the authority of the Church, whose infallibility is extended to this fact on account of the dogma to be believed, with which, as it were as a condition, that fact is bound together which they call dogmatic, and it is specifically a fact of this kind, since there differ from it, as is evident, those human texts which in like manner are bound up with a dogma to be believed, and which for that reason are aptly called dogmatic texts, although among the earlier theologians, in the controversy with the Jansenists, they commonly passed under the name of dogmatic facts. But since now the legitimate celebration of the Vatican Council, which by force of a dogmatic fact is infallibly certain, is called into doubt: it is not beside the point — a thing which plainly agrees with the distinction of matter or object — to distinguish such a species of the genus of dogmatic facts from the former species, I mean that of dogmatic texts, lest, this alone being admitted under the name of dogmatic fact, the former species either remain doubtful or even be denied. But, lest we go over ground already covered, we have treated of this matter in the work de Unitate Romana lib. II., where the infallibility of the Roman Pontiff is discussed.</w:t>
      </w:r>
    </w:p>
    <w:p>
      <w:pPr>
        <w:pStyle w:val="FirstParagraph"/>
      </w:pPr>
      <w:r>
        <w:t xml:space="preserve">[p. 114 also carries short footnotes 1 (</w:t>
      </w:r>
      <w:r>
        <w:t xml:space="preserve">“</w:t>
      </w:r>
      <w:r>
        <w:t xml:space="preserve">De pec. orig. c. 23.</w:t>
      </w:r>
      <w:r>
        <w:t xml:space="preserve">”</w:t>
      </w:r>
      <w:r>
        <w:t xml:space="preserve">) and 2 (</w:t>
      </w:r>
      <w:r>
        <w:t xml:space="preserve">“</w:t>
      </w:r>
      <w:r>
        <w:t xml:space="preserve">L. c. c. 5.</w:t>
      </w:r>
      <w:r>
        <w:t xml:space="preserve">”</w:t>
      </w:r>
      <w:r>
        <w:t xml:space="preserve">), anchored in the body text of p. 114, not transcribed here]</w:t>
      </w:r>
    </w:p>
    <w:bookmarkEnd w:id="20"/>
    <w:bookmarkStart w:id="21" w:name="Xf1575218b5d41b781dc10c4c94b67b9524d2a60"/>
    <w:p>
      <w:pPr>
        <w:pStyle w:val="Heading3"/>
      </w:pPr>
      <w:r>
        <w:t xml:space="preserve">Unit 2 — Censures: the manner of passing them, categorical censure, and note 3 (printed p. 128)</w:t>
      </w:r>
    </w:p>
    <w:p>
      <w:pPr>
        <w:pStyle w:val="FirstParagraph"/>
      </w:pPr>
      <w:r>
        <w:t xml:space="preserve">[CONT] -dem [end of a word carried over from the preceding page]. It is nevertheless forbidden ^1 to private theologians to brand opinions which are freely defended in the schools with any censure of proper name ^2; just as it would certainly be imprudent and rash ^3 to assert pure opinions as certain</w:t>
      </w:r>
      <w:r>
        <w:t xml:space="preserve"> </w:t>
      </w:r>
      <w:r>
        <w:rPr>
          <w:iCs/>
          <w:i/>
        </w:rPr>
        <w:t xml:space="preserve">de fide</w:t>
      </w:r>
      <w:r>
        <w:t xml:space="preserve">.</w:t>
      </w:r>
    </w:p>
    <w:p>
      <w:pPr>
        <w:pStyle w:val="BodyText"/>
      </w:pPr>
      <w:r>
        <w:t xml:space="preserve">{marg. The manner of passing censures.} 80. Further, IV. it is asked, what is the manner of passing censures? It is not of one kind, but various. And indeed</w:t>
      </w:r>
    </w:p>
    <w:p>
      <w:pPr>
        <w:pStyle w:val="BodyText"/>
      </w:pPr>
      <w:r>
        <w:t xml:space="preserve">{marg. Categorical censure.} 1) one is that by which is passed the censure which they call categorical, specific, precise: namely, when to each several proposition its own several qualification is appended, as is done in Councils through canons sanctioned with anathema, and as has been done more than once as well by the Roman Pontiffs ^4</w:t>
      </w:r>
    </w:p>
    <w:p>
      <w:pPr>
        <w:pStyle w:val="BodyText"/>
      </w:pPr>
      <w:r>
        <w:t xml:space="preserve">[notes 1, 2, and 4 omitted]</w:t>
      </w:r>
    </w:p>
    <w:p>
      <w:pPr>
        <w:numPr>
          <w:ilvl w:val="0"/>
          <w:numId w:val="1002"/>
        </w:numPr>
        <w:pStyle w:val="Compact"/>
      </w:pPr>
      <w:r>
        <w:t xml:space="preserve">Fr. Suar. l. c. disp. XIX. sec. 6. admonishes that in this business there is need of great caution and moderation, lest offense be committed against justice, charity, and courtesy itself. Yet it would be an excess to wish it forbidden to a theologian to assert his own opinion, according to the theological canons, as certain, or probable, or more probable, and to reject the opposite according to its desert; for this is repugnant no less to constant usage and to the authority of the weightiest theologians than to sacred science itself. Nay rather, nothing prevents a theologian, in a controversy over whether or not some proposition is</w:t>
      </w:r>
      <w:r>
        <w:t xml:space="preserve"> </w:t>
      </w:r>
      <w:r>
        <w:rPr>
          <w:iCs/>
          <w:i/>
        </w:rPr>
        <w:t xml:space="preserve">de fide</w:t>
      </w:r>
      <w:r>
        <w:t xml:space="preserve">, and its contrary heretical, from laying down his own opinion after the customary manner and norm, whether as more or less certain or as more or less probable, provided he abstain from censuring the opinion of the theologians who think otherwise: thus it is one thing to say that it is</w:t>
      </w:r>
      <w:r>
        <w:t xml:space="preserve"> </w:t>
      </w:r>
      <w:r>
        <w:rPr>
          <w:iCs/>
          <w:i/>
        </w:rPr>
        <w:t xml:space="preserve">de fide</w:t>
      </w:r>
      <w:r>
        <w:t xml:space="preserve"> </w:t>
      </w:r>
      <w:r>
        <w:t xml:space="preserve">that the present Pontiff, acknowledged by the universal Church, is the true successor of Peter and the Vicar of Christ on earth, and to affirm that the contrary is heretical: and it is another thing, that the opinion of the theologians who deny both is heretical; the former pertains to the doctrinal office of theologians, the latter to the judicial charge of pastors.</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4">
    <w:nsid w:val="A99204"/>
    <w:multiLevelType w:val="multilevel"/>
    <w:lvl w:ilvl="0">
      <w:start w:val="4"/>
      <w:numFmt w:val="decimal"/>
      <w:lvlText w:val="%1."/>
      <w:lvlJc w:val="left"/>
      <w:pPr>
        <w:ind w:left="720" w:hanging="480"/>
      </w:pPr>
    </w:lvl>
    <w:lvl w:ilvl="1">
      <w:start w:val="4"/>
      <w:numFmt w:val="lowerLetter"/>
      <w:lvlText w:val="%2."/>
      <w:lvlJc w:val="left"/>
      <w:pPr>
        <w:ind w:left="1440" w:hanging="480"/>
      </w:pPr>
    </w:lvl>
    <w:lvl w:ilvl="2">
      <w:start w:val="4"/>
      <w:numFmt w:val="lowerRoman"/>
      <w:lvlText w:val="%3."/>
      <w:lvlJc w:val="left"/>
      <w:pPr>
        <w:ind w:left="2160" w:hanging="480"/>
      </w:pPr>
    </w:lvl>
    <w:lvl w:ilvl="3">
      <w:start w:val="4"/>
      <w:numFmt w:val="decimal"/>
      <w:lvlText w:val="%4."/>
      <w:lvlJc w:val="left"/>
      <w:pPr>
        <w:ind w:left="2880" w:hanging="480"/>
      </w:pPr>
    </w:lvl>
    <w:lvl w:ilvl="4">
      <w:start w:val="4"/>
      <w:numFmt w:val="lowerLetter"/>
      <w:lvlText w:val="%5."/>
      <w:lvlJc w:val="left"/>
      <w:pPr>
        <w:ind w:left="3600" w:hanging="480"/>
      </w:pPr>
    </w:lvl>
    <w:lvl w:ilvl="5">
      <w:start w:val="4"/>
      <w:numFmt w:val="lowerRoman"/>
      <w:lvlText w:val="%6."/>
      <w:lvlJc w:val="left"/>
      <w:pPr>
        <w:ind w:left="4320" w:hanging="480"/>
      </w:pPr>
    </w:lvl>
    <w:lvl w:ilvl="6">
      <w:start w:val="4"/>
      <w:numFmt w:val="decimal"/>
      <w:lvlText w:val="%7."/>
      <w:lvlJc w:val="left"/>
      <w:pPr>
        <w:ind w:left="5040" w:hanging="480"/>
      </w:pPr>
    </w:lvl>
    <w:lvl w:ilvl="7">
      <w:start w:val="4"/>
      <w:numFmt w:val="lowerLetter"/>
      <w:lvlText w:val="%8."/>
      <w:lvlJc w:val="left"/>
      <w:pPr>
        <w:ind w:left="5760" w:hanging="480"/>
      </w:pPr>
    </w:lvl>
    <w:lvl w:ilvl="8">
      <w:start w:val="4"/>
      <w:numFmt w:val="lowerRoman"/>
      <w:lvlText w:val="%9."/>
      <w:lvlJc w:val="left"/>
      <w:pPr>
        <w:ind w:left="6480" w:hanging="480"/>
      </w:pPr>
    </w:lvl>
  </w:abstractNum>
  <w:abstractNum w:abstractNumId="99203">
    <w:nsid w:val="A99203"/>
    <w:multiLevelType w:val="multilevel"/>
    <w:lvl w:ilvl="0">
      <w:start w:val="3"/>
      <w:numFmt w:val="decimal"/>
      <w:lvlText w:val="%1."/>
      <w:lvlJc w:val="left"/>
      <w:pPr>
        <w:ind w:left="720" w:hanging="480"/>
      </w:pPr>
    </w:lvl>
    <w:lvl w:ilvl="1">
      <w:start w:val="3"/>
      <w:numFmt w:val="lowerLetter"/>
      <w:lvlText w:val="%2."/>
      <w:lvlJc w:val="left"/>
      <w:pPr>
        <w:ind w:left="1440" w:hanging="480"/>
      </w:pPr>
    </w:lvl>
    <w:lvl w:ilvl="2">
      <w:start w:val="3"/>
      <w:numFmt w:val="lowerRoman"/>
      <w:lvlText w:val="%3."/>
      <w:lvlJc w:val="left"/>
      <w:pPr>
        <w:ind w:left="2160" w:hanging="480"/>
      </w:pPr>
    </w:lvl>
    <w:lvl w:ilvl="3">
      <w:start w:val="3"/>
      <w:numFmt w:val="decimal"/>
      <w:lvlText w:val="%4."/>
      <w:lvlJc w:val="left"/>
      <w:pPr>
        <w:ind w:left="2880" w:hanging="480"/>
      </w:pPr>
    </w:lvl>
    <w:lvl w:ilvl="4">
      <w:start w:val="3"/>
      <w:numFmt w:val="lowerLetter"/>
      <w:lvlText w:val="%5."/>
      <w:lvlJc w:val="left"/>
      <w:pPr>
        <w:ind w:left="3600" w:hanging="480"/>
      </w:pPr>
    </w:lvl>
    <w:lvl w:ilvl="5">
      <w:start w:val="3"/>
      <w:numFmt w:val="lowerRoman"/>
      <w:lvlText w:val="%6."/>
      <w:lvlJc w:val="left"/>
      <w:pPr>
        <w:ind w:left="4320" w:hanging="480"/>
      </w:pPr>
    </w:lvl>
    <w:lvl w:ilvl="6">
      <w:start w:val="3"/>
      <w:numFmt w:val="decimal"/>
      <w:lvlText w:val="%7."/>
      <w:lvlJc w:val="left"/>
      <w:pPr>
        <w:ind w:left="5040" w:hanging="480"/>
      </w:pPr>
    </w:lvl>
    <w:lvl w:ilvl="7">
      <w:start w:val="3"/>
      <w:numFmt w:val="lowerLetter"/>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20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2026-08-26T13:41:22Z</dcterms:created>
  <dcterms:modified xsi:type="dcterms:W3CDTF">2026-08-26T13:41:22Z</dcterms:modified>
</cp:coreProperties>
</file>

<file path=docProps/custom.xml><?xml version="1.0" encoding="utf-8"?>
<Properties xmlns="http://schemas.openxmlformats.org/officeDocument/2006/custom-properties" xmlns:vt="http://schemas.openxmlformats.org/officeDocument/2006/docPropsVTypes"/>
</file>