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Source: Clemens Schrader, S.J.,</w:t>
            </w:r>
            <w:r>
              <w:t xml:space="preserve"> </w:t>
            </w:r>
            <w:r>
              <w:rPr>
                <w:iCs/>
                <w:i/>
              </w:rPr>
              <w:t xml:space="preserve">De theologia generatim commentarius</w:t>
            </w:r>
            <w:r>
              <w:t xml:space="preserve"> </w:t>
            </w:r>
            <w:r>
              <w:t xml:space="preserve">(Parisiis 1874), printed pp. 113–114 and 128. Superscript note references are given as ^N. Page breaks marked {p. NNN}. Marginal rubrics as {marg. …}.</w:t>
            </w:r>
          </w:p>
        </w:tc>
        <w:tc>
          <w:tcPr/>
          <w:p>
            <w:pPr>
              <w:pStyle w:val="Compact"/>
            </w:pPr>
          </w:p>
        </w:tc>
        <w:tc>
          <w:tcPr/>
          <w:p>
            <w:pPr>
              <w:pStyle w:val="Compact"/>
              <w:jc w:val="left"/>
            </w:pPr>
            <w:r>
              <w:t xml:space="preserve">Source: Clemens Schrader, S.J.,</w:t>
            </w:r>
            <w:r>
              <w:t xml:space="preserve"> </w:t>
            </w:r>
            <w:r>
              <w:rPr>
                <w:iCs/>
                <w:i/>
              </w:rPr>
              <w:t xml:space="preserve">De theologia generatim commentarius</w:t>
            </w:r>
            <w:r>
              <w:t xml:space="preserve"> </w:t>
            </w:r>
            <w:r>
              <w:t xml:space="preserve">(Paris 1874), printed pp. 113–114 and 128. Superscript note references are given as ^N. Page breaks marked {p. NNN}. Marginal rubrics as {marg. …}.</w:t>
            </w:r>
          </w:p>
        </w:tc>
      </w:tr>
      <w:tr>
        <w:tc>
          <w:tcPr/>
          <w:p>
            <w:pPr>
              <w:pStyle w:val="Compact"/>
              <w:jc w:val="left"/>
            </w:pPr>
            <w:r>
              <w:rPr>
                <w:bCs/>
                <w:b/>
              </w:rPr>
              <w:t xml:space="preserve">Unit 1 — The dogmatic-facts footnote (note 4, printed pp. 113–114)</w:t>
            </w:r>
          </w:p>
        </w:tc>
        <w:tc>
          <w:tcPr/>
          <w:p>
            <w:pPr>
              <w:pStyle w:val="Compact"/>
            </w:pPr>
          </w:p>
        </w:tc>
        <w:tc>
          <w:tcPr/>
          <w:p>
            <w:pPr>
              <w:pStyle w:val="Compact"/>
              <w:jc w:val="left"/>
            </w:pPr>
            <w:r>
              <w:rPr>
                <w:bCs/>
                <w:b/>
              </w:rPr>
              <w:t xml:space="preserve">Unit 1 — The dogmatic-facts footnote (note 4, printed pp. 113–114)</w:t>
            </w:r>
          </w:p>
        </w:tc>
      </w:tr>
      <w:tr>
        <w:tc>
          <w:tcPr/>
          <w:p>
            <w:pPr>
              <w:pStyle w:val="Compact"/>
              <w:jc w:val="left"/>
            </w:pPr>
            <w:r>
              <w:t xml:space="preserve">[body anchor] Hoc autem ex præstitutis ^2 certum esse videtur, conclusione revelatam divinitus veritatem non contineri, si præmissa altera, quæ ratione tantum dicitur certa, alio spectet, quam ad declarandum, quid altera præmissa, quæ revelata est, sive dictionis ^3 sive significatæ rei ^4 virtute contineatur.</w:t>
            </w:r>
          </w:p>
        </w:tc>
        <w:tc>
          <w:tcPr/>
          <w:p>
            <w:pPr>
              <w:pStyle w:val="Compact"/>
            </w:pPr>
          </w:p>
        </w:tc>
        <w:tc>
          <w:tcPr/>
          <w:p>
            <w:pPr>
              <w:pStyle w:val="Compact"/>
              <w:jc w:val="left"/>
            </w:pPr>
            <w:r>
              <w:t xml:space="preserve">[body anchor] Now this seems certain from what has been established above ^2: that a divinely revealed truth is not contained in the conclusion, if the one premise, which is said to be certain by reason only, looks to something other than declaring what is contained in the other premise, which is revealed, whether by force of the wording ^3 or of the thing signified ^4.</w:t>
            </w:r>
          </w:p>
        </w:tc>
      </w:tr>
      <w:tr>
        <w:tc>
          <w:tcPr/>
          <w:p>
            <w:pPr>
              <w:pStyle w:val="Compact"/>
              <w:jc w:val="left"/>
            </w:pPr>
            <w:r>
              <w:t xml:space="preserve">[notes 1–3 of p. 113 omitted]</w:t>
            </w:r>
          </w:p>
        </w:tc>
        <w:tc>
          <w:tcPr/>
          <w:p>
            <w:pPr>
              <w:pStyle w:val="Compact"/>
            </w:pPr>
          </w:p>
        </w:tc>
        <w:tc>
          <w:tcPr/>
          <w:p>
            <w:pPr>
              <w:pStyle w:val="Compact"/>
              <w:jc w:val="left"/>
            </w:pPr>
            <w:r>
              <w:t xml:space="preserve">[notes 1–3 of p. 113 omitted]</w:t>
            </w:r>
          </w:p>
        </w:tc>
      </w:tr>
      <w:tr>
        <w:tc>
          <w:tcPr/>
          <w:p>
            <w:pPr>
              <w:pStyle w:val="Compact"/>
              <w:jc w:val="left"/>
            </w:pPr>
            <w:r>
              <w:t xml:space="preserve">4. Revelatum in se ac formaliter censetur similiter, quidquid re revelata ex sese formaliterve comprehenditur : ita revelato effectu revelata dicitur causa, citra quam ille esse ac concipi nequit ; similiter, revelato principiato revelatum principium, revelato uno correlato, ut aiunt, puta, Patre, revelatum et alterum, puta Filius; porro, in universali revelato revelatum censetur particulare quod illo formaliter ac in se continetur: revelatum est, quod omnes Apostoli acceperunt Spiritum sanctum, sed Matthæus erat Apostolus (en maiorem, in qua quid formaliter ac in se comprehendatur, minori effertur), ergo conclusio, Matthæus accepit Spiritum sanctum, est revelata ; item quod revelato genere vel specie continetur formaliter, scilicet secundum formales suas partes, ut in definito definitio: ita de homine, qui revelatus est Christus, revelatur, anima eum et corpore constare ; non vero quod virtualiter tantum, secundum eas nimirum rationes, quæ ab partium virtute potentiaque proficiscuntur, vel alium gradum entis, quam formalem constituunt; hinc licet in hoc discursu : Omnis homo est risibilis ; sed Christus est homo ; ergo Christus est risibilis, præmissarum altera sit de fide, et altera naturaliter certa: quia tamen hæc non continetur in illa formaliter, non dicit aliquid, quod in se ipsis formalibus seu metaphysicis hominis comprehenditur partibus, quæ eius efficiunt essentiam, sed enuntiat aliquid, quod ab illis distinguitur, ab illis dependet et sequitur veluti ex potentia actus : hinc conclusio haud censetur in se revelata, ut cum aliis gravissimis theologis docent Franc. Suares l. c. sec. 11. nn. 3. sqq., Joan. de Lugo l. c. sec. 13. nn. 279. sqq. nn. 298. sqq. Quum vero apud eosdem hosce theologos disputatur, sint necne de fide credenda singularia hæc : consecratam hanc hostiam esse adorandam ; infantem hunc baptizatum esse sanctificatum, et similia ; eo quod singularia eiusmodi contineantur confuse universalibus revelatis : manifestum ex dictis est, ea non posse fide divina credi, quum ista confusa, quam vocant, comprehensio in universali vero revelato non sufficiat. Si enim conclusio ultima resolvatur, prodeunt duæ propositiones : altera universalis, baptizatus est sanctificatus, quæ revelata quidem, adeoque credenda est ; altera vero singulare continens factum, hic infans est vere baptizatus, quod neque est revelatum, neque est, ut cum J. de Lugo multi animadvertunt, citra formidinem certum; nequit ergo complexio utriusque propositionis simpliciter credi. Idipsum de hac conclusione sive complexione : Quod Concilio Tridentino definitum est, fide credi debet, repetendum foret, nisi alia esset conditio propositionis, qua factum particulare enunciatur. Veteres nimirum theologi et illam uti particularem confuse comprehensam dicebant hac universali credenda : quidquid a Concilio legitime convocato celebratoque definitum est, fide teneri debet. Sane, hæc universalis credenda quidem est ; verum in eadem neque diserte neque virtute continetur singularis hæc, quod Concilium Tridentinum legitime convocatum est et celebratum ; neque est illa ex sese evidens, neque per auctoritatem humanam omnibus Christi fidelibus certa citra formidinem, ut certitudo metaphysica esse solet; et tamen, ait J. de Lugo l. c., teneri eadem citra formidinem debet, ne periclitetur auctoritas Concilii Tridentini, utque definita ab eo fide divina credi possint; non tenetur ergo illa nisi per auctoritatem Ecclesiæ, cuius infallibilitas ad hoc factum protenditur propter credendum dogma, quocum veluti conditio consertum est illud factum, quod dogmaticum vocant, et est specifice factum eiusmodi, cum ab eo differant, uti patet, illi textus humani, qui simili modo cum credendo dogmate vinciuntur, quique propterea apte textus dogmatici vocantur, licet apud priores theologos in quæstione cum Iansenianis nomine factorum dogmaticorum passim venirent. Quum vero nunc legitima Concilii Vaticani celebratio, quæ vi facti dogmatici infallibiliter certa est, in dubium vocetur : abs re non est, quod cum distinctione materiæ seu obiecti plane convenit, talem speciem generis factorum dogmaticorum a priori specie, textuum inquam dogmaticorum, distinguere, ne hac dumtaxat nomine facti dogmatici admissa, prior species sive dubia maneat sive etiam negetur. Sed ne acta agamus, de hac re tractavimus in op. de Unitate Romana lib. II. ubi de infallibilitate Romani Pontificis sermo est.</w:t>
            </w:r>
          </w:p>
        </w:tc>
        <w:tc>
          <w:tcPr/>
          <w:p>
            <w:pPr>
              <w:pStyle w:val="Compact"/>
            </w:pPr>
          </w:p>
        </w:tc>
        <w:tc>
          <w:tcPr/>
          <w:p>
            <w:pPr>
              <w:pStyle w:val="Compact"/>
              <w:jc w:val="left"/>
            </w:pPr>
            <w:r>
              <w:t xml:space="preserve">4. In like manner, whatever is comprehended of itself or formally in a thing revealed is reckoned revealed in itself and formally: thus, an effect being revealed, that cause is said to be revealed without which the effect can neither be nor be conceived; similarly, the principiate being revealed, the principle is revealed; one correlate, as they say, being revealed — say, the Father — the other also is revealed — say, the Son; further, in a revealed universal that particular is reckoned revealed which is contained in it formally and in itself: it is revealed that all the Apostles received the Holy Spirit, but Matthew was an Apostle (behold the major, in which what is comprehended formally and in itself is brought out by the minor), therefore the conclusion, Matthew received the Holy Spirit, is revealed; likewise, what is contained formally in a revealed genus or species, namely according to its formal parts, as the definition in the thing defined: thus of the man which Christ is revealed to be, it is revealed that he consists of soul and body; but not what is contained only virtually, namely according to those aspects which proceed from the virtue and potency of the parts, or which constitute another grade of being than the formal; hence, although in this discourse: Every man is risible; but Christ is a man; therefore Christ is risible, the one premise is</w:t>
            </w:r>
            <w:r>
              <w:t xml:space="preserve"> </w:t>
            </w:r>
            <w:r>
              <w:rPr>
                <w:iCs/>
                <w:i/>
              </w:rPr>
              <w:t xml:space="preserve">de fide</w:t>
            </w:r>
            <w:r>
              <w:t xml:space="preserve"> </w:t>
            </w:r>
            <w:r>
              <w:t xml:space="preserve">and the other naturally certain: yet because the latter is not contained in the former formally, it does not say anything which is comprehended in the very formal or metaphysical parts of man themselves, which make up his essence, but enunciates something which is distinguished from them, de-pends upon them and follows from them as act from potency: hence the conclusion is by no means reckoned revealed in itself, as, together with other most weighty theologians, teach Franc. Suares l. c. sec. 11. nn. 3. sqq., Joan. de Lugo l. c. sec. 13. nn. 279. sqq. nn. 298. sqq. But when among these same theologians it is disputed whether or not these singulars are to be believed</w:t>
            </w:r>
            <w:r>
              <w:t xml:space="preserve"> </w:t>
            </w:r>
            <w:r>
              <w:rPr>
                <w:iCs/>
                <w:i/>
              </w:rPr>
              <w:t xml:space="preserve">de fide</w:t>
            </w:r>
            <w:r>
              <w:t xml:space="preserve">: that this consecrated host is to be adored; that this baptized infant has been sanctified, and the like; on the ground that singulars of this sort are contained confusedly in revealed universals: it is manifest from what has been said that these cannot be believed by divine faith, since that confused comprehension, as they call it, in the universal, though truly revealed, does not suffice. For if the final conclusion be resolved, two propositions come forth: the one universal, the baptized person is sanctified, which is indeed revealed, and therefore to be believed; the other containing a singular fact, this infant is truly baptized, which is neither revealed, nor is it, as many with J. de Lugo observe, certain beyond fear [of the contrary]; the complexus of the two propositions therefore cannot simply be believed. The very same would have to be repeated of this conclusion or complexus: What has been defined by the Council of Trent must be believed by faith — were not the condition of the proposition by which the particular fact is enunciated a different one. The older theologians, to be sure, said that it too, as a particular, was confusedly comprehended in this universal which must be believed: whatever has been defined by a Council legitimately convoked and celebrated must be held by faith. Certainly, this universal is indeed to be believed; but in it there is contained, neither expressly nor virtually, this singular, that the Council of Trent was legitimately convoked and celebrated; nor is that singular evident of itself, nor certain to all Christ’s faithful through human authority beyond fear [of the contrary], as metaphysical certitude is wont to be; and yet, says J. de Lugo l. c., it must be held beyond fear [of the contrary], lest the authority of the Council of Trent be imperiled, and so that the things defined by it may be believed with divine faith; it is therefore not held except through the authority of the Church, whose infallibility is extended to this fact on account of the dogma to be believed, with which, as it were as a condition, that fact is bound together which they call dogmatic, and it is specifically a fact of this kind, since there differ from it, as is evident, those human texts which in like manner are bound up with a dogma to be believed, and which for that reason are aptly called dogmatic texts, although among the earlier theologians, in the controversy with the Jansenists, they commonly passed under the name of dogmatic facts. But since now the legitimate celebration of the Vatican Council, which by force of a dogmatic fact is infallibly certain, is called into doubt: it is not beside the point — a thing which plainly agrees with the distinction of matter or object — to distinguish such a species of the genus of dogmatic facts from the former species, I mean that of dogmatic texts, lest, this alone being admitted under the name of dogmatic fact, the former species either remain doubtful or even be denied. But, lest we go over ground already covered, we have treated of this matter in the work de Unitate Romana lib. II., where the infallibility of the Roman Pontiff is discussed.</w:t>
            </w:r>
          </w:p>
        </w:tc>
      </w:tr>
      <w:tr>
        <w:tc>
          <w:tcPr/>
          <w:p>
            <w:pPr>
              <w:pStyle w:val="Compact"/>
              <w:jc w:val="left"/>
            </w:pPr>
            <w:r>
              <w:t xml:space="preserve">[p. 114 also carries short footnotes 1 (</w:t>
            </w:r>
            <w:r>
              <w:t xml:space="preserve">“</w:t>
            </w:r>
            <w:r>
              <w:t xml:space="preserve">De pec. orig. c. 23.</w:t>
            </w:r>
            <w:r>
              <w:t xml:space="preserve">”</w:t>
            </w:r>
            <w:r>
              <w:t xml:space="preserve">) and 2 (</w:t>
            </w:r>
            <w:r>
              <w:t xml:space="preserve">“</w:t>
            </w:r>
            <w:r>
              <w:t xml:space="preserve">L. c. c. 5.</w:t>
            </w:r>
            <w:r>
              <w:t xml:space="preserve">”</w:t>
            </w:r>
            <w:r>
              <w:t xml:space="preserve">), anchored in the body text of p. 114, not transcribed here]</w:t>
            </w:r>
          </w:p>
        </w:tc>
        <w:tc>
          <w:tcPr/>
          <w:p>
            <w:pPr>
              <w:pStyle w:val="Compact"/>
            </w:pPr>
          </w:p>
        </w:tc>
        <w:tc>
          <w:tcPr/>
          <w:p>
            <w:pPr>
              <w:pStyle w:val="Compact"/>
              <w:jc w:val="left"/>
            </w:pPr>
            <w:r>
              <w:t xml:space="preserve">[p. 114 also carries short footnotes 1 (</w:t>
            </w:r>
            <w:r>
              <w:t xml:space="preserve">“</w:t>
            </w:r>
            <w:r>
              <w:t xml:space="preserve">De pec. orig. c. 23.</w:t>
            </w:r>
            <w:r>
              <w:t xml:space="preserve">”</w:t>
            </w:r>
            <w:r>
              <w:t xml:space="preserve">) and 2 (</w:t>
            </w:r>
            <w:r>
              <w:t xml:space="preserve">“</w:t>
            </w:r>
            <w:r>
              <w:t xml:space="preserve">L. c. c. 5.</w:t>
            </w:r>
            <w:r>
              <w:t xml:space="preserve">”</w:t>
            </w:r>
            <w:r>
              <w:t xml:space="preserve">), anchored in the body text of p. 114, not transcribed here]</w:t>
            </w:r>
          </w:p>
        </w:tc>
      </w:tr>
      <w:tr>
        <w:tc>
          <w:tcPr/>
          <w:p>
            <w:pPr>
              <w:pStyle w:val="Compact"/>
              <w:jc w:val="left"/>
            </w:pPr>
            <w:r>
              <w:rPr>
                <w:bCs/>
                <w:b/>
              </w:rPr>
              <w:t xml:space="preserve">Unit 2 — Censures: modus ferendi, censura categorica, and note 3 (printed p. 128)</w:t>
            </w:r>
          </w:p>
        </w:tc>
        <w:tc>
          <w:tcPr/>
          <w:p>
            <w:pPr>
              <w:pStyle w:val="Compact"/>
            </w:pPr>
          </w:p>
        </w:tc>
        <w:tc>
          <w:tcPr/>
          <w:p>
            <w:pPr>
              <w:pStyle w:val="Compact"/>
              <w:jc w:val="left"/>
            </w:pPr>
            <w:r>
              <w:rPr>
                <w:bCs/>
                <w:b/>
              </w:rPr>
              <w:t xml:space="preserve">Unit 2 — Censures: the manner of passing them, categorical censure, and note 3 (printed p. 128)</w:t>
            </w:r>
          </w:p>
        </w:tc>
      </w:tr>
      <w:tr>
        <w:tc>
          <w:tcPr/>
          <w:p>
            <w:pPr>
              <w:pStyle w:val="Compact"/>
              <w:jc w:val="left"/>
            </w:pPr>
            <w:r>
              <w:t xml:space="preserve">[CONT] dem. Est tamen privatis theologis prohibitum ^1 opinionibus, quæ in scholis libere defenduntur, ullam inurere proprii nominis ^2 censuram ; non secus ac imprudens certe temerariumque ^3 foret, opiniones puras uti certas de fide asserere.</w:t>
            </w:r>
          </w:p>
        </w:tc>
        <w:tc>
          <w:tcPr/>
          <w:p>
            <w:pPr>
              <w:pStyle w:val="Compact"/>
            </w:pPr>
          </w:p>
        </w:tc>
        <w:tc>
          <w:tcPr/>
          <w:p>
            <w:pPr>
              <w:pStyle w:val="Compact"/>
              <w:jc w:val="left"/>
            </w:pPr>
            <w:r>
              <w:t xml:space="preserve">[CONT] -dem [end of a word carried over from the preceding page]. It is nevertheless forbidden ^1 to private theologians to brand opinions which are freely defended in the schools with any censure of proper name ^2; just as it would certainly be imprudent and rash ^3 to assert pure opinions as certain</w:t>
            </w:r>
            <w:r>
              <w:t xml:space="preserve"> </w:t>
            </w:r>
            <w:r>
              <w:rPr>
                <w:iCs/>
                <w:i/>
              </w:rPr>
              <w:t xml:space="preserve">de fide</w:t>
            </w:r>
            <w:r>
              <w:t xml:space="preserve">.</w:t>
            </w:r>
          </w:p>
        </w:tc>
      </w:tr>
      <w:tr>
        <w:tc>
          <w:tcPr/>
          <w:p>
            <w:pPr>
              <w:pStyle w:val="Compact"/>
              <w:jc w:val="left"/>
            </w:pPr>
            <w:r>
              <w:t xml:space="preserve">{marg. Modus ferendi censuras.} 80. Porro IV. quæritur, quis sit censuras ferendi modus? Non est is uniusmodi, sed varius. Et quidem</w:t>
            </w:r>
          </w:p>
        </w:tc>
        <w:tc>
          <w:tcPr/>
          <w:p>
            <w:pPr>
              <w:pStyle w:val="Compact"/>
            </w:pPr>
          </w:p>
        </w:tc>
        <w:tc>
          <w:tcPr/>
          <w:p>
            <w:pPr>
              <w:pStyle w:val="Compact"/>
              <w:jc w:val="left"/>
            </w:pPr>
            <w:r>
              <w:t xml:space="preserve">{marg. The manner of passing censures.} 80. Further, IV. it is asked, what is the manner of passing censures? It is not of one kind, but various. And indeed</w:t>
            </w:r>
          </w:p>
        </w:tc>
      </w:tr>
      <w:tr>
        <w:tc>
          <w:tcPr/>
          <w:p>
            <w:pPr>
              <w:pStyle w:val="Compact"/>
              <w:jc w:val="left"/>
            </w:pPr>
            <w:r>
              <w:t xml:space="preserve">{marg. Censura categorica.} 1) alius est, quo fertur censura categorica, quam vocant, specifica, præcisa : scilicet, quando singulis propositionibus singulæ suæ apponuntur qualificationes, ut fit in Conciliis per sancitos anathemate canones, factumque est plus semel tam a Romanis Pontificibus ^4</w:t>
            </w:r>
          </w:p>
        </w:tc>
        <w:tc>
          <w:tcPr/>
          <w:p>
            <w:pPr>
              <w:pStyle w:val="Compact"/>
            </w:pPr>
          </w:p>
        </w:tc>
        <w:tc>
          <w:tcPr/>
          <w:p>
            <w:pPr>
              <w:pStyle w:val="Compact"/>
              <w:jc w:val="left"/>
            </w:pPr>
            <w:r>
              <w:t xml:space="preserve">{marg. Categorical censure.} 1) one is that by which is passed the censure which they call categorical, specific, precise: namely, when to each several proposition its own several qualification is appended, as is done in Councils through canons sanctioned with anathema, and as has been done more than once as well by the Roman Pontiffs ^4</w:t>
            </w:r>
          </w:p>
        </w:tc>
      </w:tr>
      <w:tr>
        <w:tc>
          <w:tcPr/>
          <w:p>
            <w:pPr>
              <w:pStyle w:val="Compact"/>
              <w:jc w:val="left"/>
            </w:pPr>
            <w:r>
              <w:t xml:space="preserve">[notes 1, 2, and 4 omitted]</w:t>
            </w:r>
          </w:p>
        </w:tc>
        <w:tc>
          <w:tcPr/>
          <w:p>
            <w:pPr>
              <w:pStyle w:val="Compact"/>
            </w:pPr>
          </w:p>
        </w:tc>
        <w:tc>
          <w:tcPr/>
          <w:p>
            <w:pPr>
              <w:pStyle w:val="Compact"/>
              <w:jc w:val="left"/>
            </w:pPr>
            <w:r>
              <w:t xml:space="preserve">[notes 1, 2, and 4 omitted]</w:t>
            </w:r>
          </w:p>
        </w:tc>
      </w:tr>
      <w:tr>
        <w:tc>
          <w:tcPr/>
          <w:p>
            <w:pPr>
              <w:pStyle w:val="Compact"/>
              <w:jc w:val="left"/>
            </w:pPr>
            <w:r>
              <w:t xml:space="preserve">3. Monet Fr. Suar. l. c. disp. XIX. sec. 6. magna in hoc negotio opus esse cautela ac moderatione, ne contra iustitiam, caritatem urbanitatemque ipsam peccetur. Foret tamen excessus, vetitum velle theologo, ut suam sententiam secundum canones theologicos uti certam, vel probabilem, probabilioremve asserat, oppositamque pro suo merito reiiciat ; hoc enim non minus usui constanti, ac gravissimorum auctoritati theologorum, quam sacræ scientiæ repugnat. Quinimmo nihil impedit, quominus in controversia, sit necne propositio aliqua de fide, et contraria eidem hæretica, theologus pro more ac norma statuat sententiam suam sive ut plus minusve certam sive ut plus minusve probabilem, dummodo abstineat a censura sententiæ theologorum, qui aliter sentiunt : ita aliud est, dicere esse de fide, Pontificem præsentem, ab universa Ecclesia agnitum, verum esse Petri successorem Christique in terris Vicarium, et affirmare, contrarium esse hæreticum : et aliud est, sententiam theologorum utrumque negantium esse hæreticam ; illud pertinet ad doctrinale theologorum officium, hoc ad iudiciale pastorum munus.</w:t>
            </w:r>
          </w:p>
        </w:tc>
        <w:tc>
          <w:tcPr/>
          <w:p>
            <w:pPr>
              <w:pStyle w:val="Compact"/>
            </w:pPr>
          </w:p>
        </w:tc>
        <w:tc>
          <w:tcPr/>
          <w:p>
            <w:pPr>
              <w:pStyle w:val="Compact"/>
              <w:jc w:val="left"/>
            </w:pPr>
            <w:r>
              <w:t xml:space="preserve">3. Fr. Suar. l. c. disp. XIX. sec. 6. admonishes that in this business there is need of great caution and moderation, lest offense be committed against justice, charity, and courtesy itself. Yet it would be an excess to wish it forbidden to a theologian to assert his own opinion, according to the theological canons, as certain, or probable, or more probable, and to reject the opposite according to its desert; for this is repugnant no less to constant usage and to the authority of the weightiest theologians than to sacred science itself. Nay rather, nothing prevents a theologian, in a controversy over whether or not some proposition is</w:t>
            </w:r>
            <w:r>
              <w:t xml:space="preserve"> </w:t>
            </w:r>
            <w:r>
              <w:rPr>
                <w:iCs/>
                <w:i/>
              </w:rPr>
              <w:t xml:space="preserve">de fide</w:t>
            </w:r>
            <w:r>
              <w:t xml:space="preserve">, and its contrary heretical, from laying down his own opinion after the customary manner and norm, whether as more or less certain or as more or less probable, provided he abstain from censuring the opinion of the theologians who think otherwise: thus it is one thing to say that it is</w:t>
            </w:r>
            <w:r>
              <w:t xml:space="preserve"> </w:t>
            </w:r>
            <w:r>
              <w:rPr>
                <w:iCs/>
                <w:i/>
              </w:rPr>
              <w:t xml:space="preserve">de fide</w:t>
            </w:r>
            <w:r>
              <w:t xml:space="preserve"> </w:t>
            </w:r>
            <w:r>
              <w:t xml:space="preserve">that the present Pontiff, acknowledged by the universal Church, is the true successor of Peter and the Vicar of Christ on earth, and to affirm that the contrary is heretical: and it is another thing, that the opinion of the theologians who deny both is heretical; the former pertains to the doctrinal office of theologians, the latter to the judicial charge of pastors.</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2026-08-26T13:41:26Z</dcterms:created>
  <dcterms:modified xsi:type="dcterms:W3CDTF">2026-08-26T13:41:26Z</dcterms:modified>
</cp:coreProperties>
</file>

<file path=docProps/custom.xml><?xml version="1.0" encoding="utf-8"?>
<Properties xmlns="http://schemas.openxmlformats.org/officeDocument/2006/custom-properties" xmlns:vt="http://schemas.openxmlformats.org/officeDocument/2006/docPropsVTypes"/>
</file>