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p>
    <w:p>
      <w:pPr>
        <w:pStyle w:val="BodyText"/>
      </w:pPr>
      <w:r>
        <w:t xml:space="preserve">explicitly risibility</w:t>
      </w:r>
      <w:r>
        <w:t xml:space="preserve"> </w:t>
      </w:r>
      <w:r>
        <w:rPr>
          <w:iCs/>
          <w:i/>
        </w:rPr>
        <w:t xml:space="preserve">in actu secundo</w:t>
      </w:r>
      <w:r>
        <w:t xml:space="preserve">, in which alone he errs, which nevertheless is not formally revealed. »</w:t>
      </w:r>
    </w:p>
    <w:p>
      <w:pPr>
        <w:numPr>
          <w:ilvl w:val="0"/>
          <w:numId w:val="1001"/>
        </w:numPr>
        <w:pStyle w:val="Compact"/>
      </w:pPr>
      <w:r>
        <w:rPr>
          <w:iCs/>
          <w:i/>
        </w:rPr>
        <w:t xml:space="preserve">You will insist:</w:t>
      </w:r>
      <w:r>
        <w:t xml:space="preserve"> </w:t>
      </w:r>
      <w:r>
        <w:t xml:space="preserve">it being revealed of Christ that he is man, it is of faith that Christ had all things pertaining to the connatural state, unless a special reason or faith itself compel us to except something; therefore.</w:t>
      </w:r>
    </w:p>
    <w:p>
      <w:pPr>
        <w:pStyle w:val="FirstParagraph"/>
      </w:pPr>
      <w:r>
        <w:rPr>
          <w:iCs/>
          <w:i/>
        </w:rPr>
        <w:t xml:space="preserve">Reply: I distinguish the antecedent:</w:t>
      </w:r>
      <w:r>
        <w:t xml:space="preserve"> </w:t>
      </w:r>
      <w:r>
        <w:t xml:space="preserve">by force of that revelation considered in itself it is of faith that Christ had all things, etc.,</w:t>
      </w:r>
      <w:r>
        <w:t xml:space="preserve"> </w:t>
      </w:r>
      <w:r>
        <w:rPr>
          <w:iCs/>
          <w:i/>
        </w:rPr>
        <w:t xml:space="preserve">denied;</w:t>
      </w:r>
      <w:r>
        <w:t xml:space="preserve"> </w:t>
      </w:r>
      <w:r>
        <w:t xml:space="preserve">taken together with other circumstances, or by force of other revelations, where Christ (e.g., Hebr. IV) is called a man « like to us in all things without sin, »</w:t>
      </w:r>
      <w:r>
        <w:t xml:space="preserve"> </w:t>
      </w:r>
      <w:r>
        <w:rPr>
          <w:iCs/>
          <w:i/>
        </w:rPr>
        <w:t xml:space="preserve">granted.</w:t>
      </w:r>
      <w:r>
        <w:t xml:space="preserve"> </w:t>
      </w:r>
      <w:r>
        <w:t xml:space="preserve">Namely, although for a proper locution about some truth there is required both an external sign apt formally to manifest it, or to engender a formal knowledge of it that is at least implicit, and the speaker’s intention of doing this; nevertheless, since both can belong to a locution not only speaking</w:t>
      </w:r>
      <w:r>
        <w:t xml:space="preserve"> </w:t>
      </w:r>
      <w:r>
        <w:rPr>
          <w:iCs/>
          <w:i/>
        </w:rPr>
        <w:t xml:space="preserve">per se,</w:t>
      </w:r>
      <w:r>
        <w:t xml:space="preserve"> </w:t>
      </w:r>
      <w:r>
        <w:t xml:space="preserve">but also</w:t>
      </w:r>
      <w:r>
        <w:t xml:space="preserve"> </w:t>
      </w:r>
      <w:r>
        <w:rPr>
          <w:iCs/>
          <w:i/>
        </w:rPr>
        <w:t xml:space="preserve">per accidens</w:t>
      </w:r>
      <w:r>
        <w:t xml:space="preserve"> </w:t>
      </w:r>
      <w:r>
        <w:t xml:space="preserve">by reason of circumstances occurring extrinsically, it comes about that those words, Christ is a man, as affected by other circumstances from the context, signify that Christ had a perfect organic body, with all the things that pertain to the connatural state of man. — Hence, standing by the</w:t>
      </w:r>
      <w:r>
        <w:t xml:space="preserve"> </w:t>
      </w:r>
      <w:r>
        <w:rPr>
          <w:iCs/>
          <w:i/>
        </w:rPr>
        <w:t xml:space="preserve">simple revelation about the human nature of Christ,</w:t>
      </w:r>
      <w:r>
        <w:t xml:space="preserve"> </w:t>
      </w:r>
      <w:r>
        <w:t xml:space="preserve">« such a one (who should deny risibility</w:t>
      </w:r>
      <w:r>
        <w:t xml:space="preserve"> </w:t>
      </w:r>
      <w:r>
        <w:rPr>
          <w:iCs/>
          <w:i/>
        </w:rPr>
        <w:t xml:space="preserve">in actu secundo</w:t>
      </w:r>
      <w:r>
        <w:t xml:space="preserve">), » says de Lugo (l. c. n. 267.), « is presumed a heretic, because he is not presumed to deny an evident natural principle… but an obscure revealed principle… If, however, he did not deny that Christ is a man, but only denied that man is risible, he would not be truly a heretic before God. So Suarez with others…. Hurtado well adds…. nor is he even to be punished in the external forum as a heretic, if he were an unlettered man, who could easily err in an evident philosophical principle. »</w:t>
      </w:r>
    </w:p>
    <w:p>
      <w:pPr>
        <w:numPr>
          <w:ilvl w:val="0"/>
          <w:numId w:val="1002"/>
        </w:numPr>
        <w:pStyle w:val="Compact"/>
      </w:pPr>
      <w:r>
        <w:rPr>
          <w:iCs/>
          <w:i/>
        </w:rPr>
        <w:t xml:space="preserve">You will say II.</w:t>
      </w:r>
      <w:r>
        <w:t xml:space="preserve"> </w:t>
      </w:r>
      <w:r>
        <w:t xml:space="preserve">All those things pertain to divine faith which pertain to the truth of God: but the things that are connected with what is explicitly revealed pertain to the veracity of God; since the truth of the thing testified cannot subsist with the falsity of the consequent. Therefore.</w:t>
      </w:r>
    </w:p>
    <w:p>
      <w:pPr>
        <w:pStyle w:val="FirstParagraph"/>
      </w:pPr>
      <w:r>
        <w:rPr>
          <w:iCs/>
          <w:i/>
        </w:rPr>
        <w:t xml:space="preserve">Reply: I distinguish the major:</w:t>
      </w:r>
      <w:r>
        <w:t xml:space="preserve"> </w:t>
      </w:r>
      <w:r>
        <w:t xml:space="preserve">the things that pertain to the veracity of God immediately,</w:t>
      </w:r>
      <w:r>
        <w:t xml:space="preserve"> </w:t>
      </w:r>
      <w:r>
        <w:rPr>
          <w:iCs/>
          <w:i/>
        </w:rPr>
        <w:t xml:space="preserve">granted;</w:t>
      </w:r>
      <w:r>
        <w:t xml:space="preserve"> </w:t>
      </w:r>
      <w:r>
        <w:t xml:space="preserve">mediately,</w:t>
      </w:r>
      <w:r>
        <w:t xml:space="preserve"> </w:t>
      </w:r>
      <w:r>
        <w:rPr>
          <w:iCs/>
          <w:i/>
        </w:rPr>
        <w:t xml:space="preserve">denied.</w:t>
      </w:r>
      <w:r>
        <w:t xml:space="preserve"> </w:t>
      </w:r>
      <w:r>
        <w:t xml:space="preserve">— To the proof,</w:t>
      </w:r>
      <w:r>
        <w:t xml:space="preserve"> </w:t>
      </w:r>
      <w:r>
        <w:rPr>
          <w:iCs/>
          <w:i/>
        </w:rPr>
        <w:t xml:space="preserve">I distinguish</w:t>
      </w:r>
      <w:r>
        <w:t xml:space="preserve"> </w:t>
      </w:r>
      <w:r>
        <w:t xml:space="preserve">likewise: the truth of the thing testified cannot subsist with the falsity of the consequent by reason of the divine revelation alone,</w:t>
      </w:r>
      <w:r>
        <w:t xml:space="preserve"> </w:t>
      </w:r>
      <w:r>
        <w:rPr>
          <w:iCs/>
          <w:i/>
        </w:rPr>
        <w:t xml:space="preserve">denied;</w:t>
      </w:r>
      <w:r>
        <w:t xml:space="preserve"> </w:t>
      </w:r>
      <w:r>
        <w:t xml:space="preserve">by reason also of another principle showing the connection, which is supposed true,</w:t>
      </w:r>
      <w:r>
        <w:t xml:space="preserve"> </w:t>
      </w:r>
      <w:r>
        <w:rPr>
          <w:iCs/>
          <w:i/>
        </w:rPr>
        <w:t xml:space="preserve">granted.</w:t>
      </w:r>
    </w:p>
    <w:p>
      <w:pPr>
        <w:pStyle w:val="BodyText"/>
      </w:pPr>
      <w:r>
        <w:t xml:space="preserve">« It is answered, » says de Lugo (disp. 1. n. 263.), « that it belongs to the truth of God that those mediate objects not be false on that head, insofar as they depend on it, yet not on that other side by which they depend on another principle; from the fact, however, that it should be false by that other principle, nothing would follow against the truth of God. On the supposition, however, that that other principle is true, it pertains to the veracity of God that they not be false. But because that supposition and its truth do not depend on the veracity of God, hence it is that the truth of the conclusion does not depend adequately on the veracity of God. Since, however, in fact that other principle is supposed to be true, hence in fact God would be argued a liar, if the conclusion were false: but this would be argued not from the falsity of the conclusion alone, but also from the truth of the other principle: whence, from first to last, neither does the veracity of the conclusion depend on the veracity of God alone, nor is it necessary on account of the veracity of God alone; but on account of it, and on account of that other principle, which is supposed true: wherefore the truth of the conclusion is never resolved totally into the veracity of God alone, and his testimony, as into a sufficient motive, as it would have to be resolved in order to be believed by faith. »</w:t>
      </w:r>
    </w:p>
    <w:p>
      <w:pPr>
        <w:numPr>
          <w:ilvl w:val="0"/>
          <w:numId w:val="1003"/>
        </w:numPr>
        <w:pStyle w:val="Compact"/>
      </w:pPr>
      <w:r>
        <w:rPr>
          <w:iCs/>
          <w:i/>
        </w:rPr>
        <w:t xml:space="preserve">You will say III.:</w:t>
      </w:r>
      <w:r>
        <w:t xml:space="preserve"> </w:t>
      </w:r>
      <w:r>
        <w:t xml:space="preserve">St. Thomas (2. 2. q. 11. a. 2.) teaches: « To which (faith) something pertains in two ways, as was said above (art. præc., et q. 1. a. 6. ad 1., et q. 2. a. 5.). In one way directly and principally, as the articles of faith: in another way indirectly and secondarily, as those things from whose denial follows the corruption of some article. And concerning both there can be heresy, in the same way as faith. » Therefore, according to St. Thomas, the things that follow upon the revealed articles are, in these, themselves revealed, or are the object of faith.</w:t>
      </w:r>
    </w:p>
    <w:p>
      <w:pPr>
        <w:pStyle w:val="FirstParagraph"/>
      </w:pPr>
      <w:r>
        <w:rPr>
          <w:iCs/>
          <w:i/>
        </w:rPr>
        <w:t xml:space="preserve">Reply: I distinguish the consequent:</w:t>
      </w:r>
      <w:r>
        <w:t xml:space="preserve"> </w:t>
      </w:r>
      <w:r>
        <w:t xml:space="preserve">according to St. Thomas, the things that follow upon the revealed articles, or that are implicitly contained in them by reason of</w:t>
      </w:r>
      <w:r>
        <w:t xml:space="preserve"> </w:t>
      </w:r>
      <w:r>
        <w:rPr>
          <w:iCs/>
          <w:i/>
        </w:rPr>
        <w:t xml:space="preserve">connection,</w:t>
      </w:r>
      <w:r>
        <w:t xml:space="preserve"> </w:t>
      </w:r>
      <w:r>
        <w:t xml:space="preserve">are themselves revealed in them, and therefore the object of faith,</w:t>
      </w:r>
      <w:r>
        <w:t xml:space="preserve"> </w:t>
      </w:r>
      <w:r>
        <w:rPr>
          <w:iCs/>
          <w:i/>
        </w:rPr>
        <w:t xml:space="preserve">denied;</w:t>
      </w:r>
      <w:r>
        <w:t xml:space="preserve"> </w:t>
      </w:r>
      <w:r>
        <w:t xml:space="preserve">the things that follow upon the revealed articles, or that are in order to them, and indeed explicitly revealed, are the object of faith,</w:t>
      </w:r>
      <w:r>
        <w:t xml:space="preserve"> </w:t>
      </w:r>
      <w:r>
        <w:rPr>
          <w:iCs/>
          <w:i/>
        </w:rPr>
        <w:t xml:space="preserve">granted.</w:t>
      </w:r>
      <w:r>
        <w:t xml:space="preserve"> </w:t>
      </w:r>
      <w:r>
        <w:t xml:space="preserve">The sense of the distinction becomes known from what has been said (n. 419.); its truth, moreover, becomes evident from the places to which St. Thomas himself refers. Indeed (q. 1. a. 6. ad 1.) he has this: « some things are believable, about which there is faith according to themselves: but some things are believable, about which there is not faith according to themselves, but only in order to other things…. But because faith is principally about those things which we hope to see in heaven, according to that of Hebr. 11, faith is the substance of things to be hoped for, therefore those things pertain</w:t>
      </w:r>
      <w:r>
        <w:t xml:space="preserve"> </w:t>
      </w:r>
      <w:r>
        <w:rPr>
          <w:iCs/>
          <w:i/>
        </w:rPr>
        <w:t xml:space="preserve">per se</w:t>
      </w:r>
      <w:r>
        <w:t xml:space="preserve"> </w:t>
      </w:r>
      <w:r>
        <w:t xml:space="preserve">to faith which order us directly to eternal life: such as are the three Persons of almighty God, the mystery of the Incarnation of Christ, and other things of this kind: and according to these the articles of faith are distinguished. But certain things are proposed in Sacred Scripture as to be believed, not because principally intended, but for the manifestation of the aforesaid: as that</w:t>
      </w:r>
      <w:r>
        <w:t xml:space="preserve"> </w:t>
      </w:r>
      <w:r>
        <w:rPr>
          <w:iCs/>
          <w:i/>
        </w:rPr>
        <w:t xml:space="preserve">Abraham had two sons, that at the touch of the bones of Eliseus a dead man was raised to life,</w:t>
      </w:r>
      <w:r>
        <w:t xml:space="preserve"> </w:t>
      </w:r>
      <w:r>
        <w:t xml:space="preserve">and other things of this kind… And according to such things it is not necessary to distinguish articles » — Similarly (q. 2. a. 5.): « The object of faith</w:t>
      </w:r>
      <w:r>
        <w:t xml:space="preserve"> </w:t>
      </w:r>
      <w:r>
        <w:rPr>
          <w:iCs/>
          <w:i/>
        </w:rPr>
        <w:t xml:space="preserve">per se</w:t>
      </w:r>
      <w:r>
        <w:t xml:space="preserve"> </w:t>
      </w:r>
      <w:r>
        <w:t xml:space="preserve">is that by which man is made blessed… But</w:t>
      </w:r>
      <w:r>
        <w:t xml:space="preserve"> </w:t>
      </w:r>
      <w:r>
        <w:rPr>
          <w:iCs/>
          <w:i/>
        </w:rPr>
        <w:t xml:space="preserve">per accidens,</w:t>
      </w:r>
      <w:r>
        <w:t xml:space="preserve"> </w:t>
      </w:r>
      <w:r>
        <w:t xml:space="preserve">or secondarily, all things stand to the object of faith which are contained in Sacred Scripture as divinely handed down: as that</w:t>
      </w:r>
      <w:r>
        <w:t xml:space="preserve"> </w:t>
      </w:r>
      <w:r>
        <w:rPr>
          <w:iCs/>
          <w:i/>
        </w:rPr>
        <w:t xml:space="preserve">Abraham had two sons,</w:t>
      </w:r>
      <w:r>
        <w:t xml:space="preserve"> </w:t>
      </w:r>
      <w:r>
        <w:t xml:space="preserve">that</w:t>
      </w:r>
      <w:r>
        <w:t xml:space="preserve"> </w:t>
      </w:r>
      <w:r>
        <w:rPr>
          <w:iCs/>
          <w:i/>
        </w:rPr>
        <w:t xml:space="preserve">David was the son of Jesse,</w:t>
      </w:r>
      <w:r>
        <w:t xml:space="preserve"> </w:t>
      </w:r>
      <w:r>
        <w:t xml:space="preserve">and other things of this kind. As regards, therefore, the first believable things, which are the articles of faith, man is bound to believe explicitly… But as regards the other believable things, man is not bound to believe explicitly, etc. » — He has the same (q. 11. a. 1.): « But because whoever believes assents to someone’s word, that one seems to be the principal, and as it were the end, in every belief, to whose word assent is given: while as it were secondary are the things which one holds in willing to assent to someone. Thus, therefore, he who rightly has the Christian faith by his own will assents to Christ in those things which truly pertain to his doctrine. From the rectitude, therefore, of the Christian faith a man can deviate in two ways: in one way, because he does not will to assent to Christ himself; and this man has as it were a bad will regarding the end itself: and this pertains to the species of the infidelity of Pagans and Jews. In another way, by this, that he intends indeed to assent to Christ, but fails in choosing the things by which he assents to Christ; because he chooses not the things which are truly handed down by Christ, but the things which his own mind suggests to him. And therefore heresy is a species of infidelity, pertaining to those who profess the faith of Christ, but corrupt its dogmas. »</w:t>
      </w:r>
    </w:p>
    <w:p>
      <w:r>
        <w:pict>
          <v:rect style="width:0;height:1.5pt" o:hralign="center" o:hrstd="t" o:hr="t"/>
        </w:pict>
      </w:r>
    </w:p>
    <w:bookmarkStart w:id="20" w:name="iii."/>
    <w:p>
      <w:pPr>
        <w:pStyle w:val="Heading3"/>
      </w:pPr>
      <w:r>
        <w:t xml:space="preserve">§. III.</w:t>
      </w:r>
    </w:p>
    <w:p>
      <w:pPr>
        <w:pStyle w:val="FirstParagraph"/>
      </w:pPr>
      <w:r>
        <w:rPr>
          <w:iCs/>
          <w:i/>
        </w:rPr>
        <w:t xml:space="preserve">From the principles established, certain particular questions are illustrated.</w:t>
      </w:r>
    </w:p>
    <w:p>
      <w:pPr>
        <w:numPr>
          <w:ilvl w:val="0"/>
          <w:numId w:val="1004"/>
        </w:numPr>
      </w:pPr>
      <w:r>
        <w:t xml:space="preserve">Theologians here commonly are wont to investigate whether it be of faith — 1) that this infant (baptized) is justified, — 2) that this individual host is consecrated — 3) that this Pope (Leo XIII) has authority over the universal Church, or that this Council (e.g., that of Trent) is legitimate, and therefore has authority over the universal Church. It will help to touch on these questions at least briefly, both that the principles established may be better understood, and that it may become known what, concerning the last question, which is of greater moment, can or ought to be held. But a twofold question, as we have said (n. 403.), must be distinguished here: the 1st, whether it be of faith</w:t>
      </w:r>
      <w:r>
        <w:t xml:space="preserve"> </w:t>
      </w:r>
      <w:r>
        <w:rPr>
          <w:iCs/>
          <w:i/>
        </w:rPr>
        <w:t xml:space="preserve">quoad nos</w:t>
      </w:r>
      <w:r>
        <w:t xml:space="preserve"> </w:t>
      </w:r>
      <w:r>
        <w:t xml:space="preserve">that this infant is justified, etc. — the 2nd, whether it be of faith</w:t>
      </w:r>
      <w:r>
        <w:t xml:space="preserve"> </w:t>
      </w:r>
      <w:r>
        <w:rPr>
          <w:iCs/>
          <w:i/>
        </w:rPr>
        <w:t xml:space="preserve">quoad se.</w:t>
      </w:r>
    </w:p>
    <w:p>
      <w:pPr>
        <w:numPr>
          <w:ilvl w:val="0"/>
          <w:numId w:val="1004"/>
        </w:numPr>
      </w:pPr>
      <w:r>
        <w:t xml:space="preserve">I. As to the</w:t>
      </w:r>
      <w:r>
        <w:t xml:space="preserve"> </w:t>
      </w:r>
      <w:r>
        <w:rPr>
          <w:iCs/>
          <w:i/>
        </w:rPr>
        <w:t xml:space="preserve">first</w:t>
      </w:r>
      <w:r>
        <w:t xml:space="preserve"> </w:t>
      </w:r>
      <w:r>
        <w:t xml:space="preserve">question, the reason for doubting is that, in order for something to be of faith as regards us, it is required that it be</w:t>
      </w:r>
      <w:r>
        <w:t xml:space="preserve"> </w:t>
      </w:r>
      <w:r>
        <w:rPr>
          <w:iCs/>
          <w:i/>
        </w:rPr>
        <w:t xml:space="preserve">certain</w:t>
      </w:r>
      <w:r>
        <w:t xml:space="preserve"> </w:t>
      </w:r>
      <w:r>
        <w:t xml:space="preserve">that it is revealed: but it does not seem that it can be</w:t>
      </w:r>
      <w:r>
        <w:t xml:space="preserve"> </w:t>
      </w:r>
      <w:r>
        <w:rPr>
          <w:iCs/>
          <w:i/>
        </w:rPr>
        <w:t xml:space="preserve">certainly</w:t>
      </w:r>
      <w:r>
        <w:t xml:space="preserve"> </w:t>
      </w:r>
      <w:r>
        <w:t xml:space="preserve">established for us that this infant has been rightly baptized, that this host has been rightly consecrated, etc.; since these things can be established for us only with</w:t>
      </w:r>
      <w:r>
        <w:t xml:space="preserve"> </w:t>
      </w:r>
      <w:r>
        <w:rPr>
          <w:iCs/>
          <w:i/>
        </w:rPr>
        <w:t xml:space="preserve">moral</w:t>
      </w:r>
      <w:r>
        <w:t xml:space="preserve"> </w:t>
      </w:r>
      <w:r>
        <w:t xml:space="preserve">certitude, which does not seem to be certitude worthy of the name. Therefore.</w:t>
      </w:r>
    </w:p>
    <w:p>
      <w:pPr>
        <w:numPr>
          <w:ilvl w:val="0"/>
          <w:numId w:val="1004"/>
        </w:numPr>
      </w:pPr>
      <w:r>
        <w:t xml:space="preserve">To forestall this difficulty, de Lugo notes (disp. 1. n. 317.): since the certitude of connection [?] signifies the necessary connection of assent with the truth of the object, as we shall see below when treating of the certitude of faith, that assent is certain which cannot fail of the truth: but this necessity is sometimes metaphysical, and makes metaphysical certitude: sometimes it is only physical, and makes physical certitude: sometimes, however, it is a necessity only moral, not excluding the physical potency for falsity; and this makes moral certitude, when, namely, although falsity could physically underlie, morally nevertheless it cannot: which moral impotency always has its act, so that the contrary physical potency is never reduced to second act, on account of its supreme difficulty.</w:t>
      </w:r>
    </w:p>
    <w:p>
      <w:pPr>
        <w:numPr>
          <w:ilvl w:val="0"/>
          <w:numId w:val="1004"/>
        </w:numPr>
      </w:pPr>
      <w:r>
        <w:t xml:space="preserve">This, however, is true only of moral certitude</w:t>
      </w:r>
      <w:r>
        <w:t xml:space="preserve"> </w:t>
      </w:r>
      <w:r>
        <w:rPr>
          <w:iCs/>
          <w:i/>
        </w:rPr>
        <w:t xml:space="preserve">strictly taken.</w:t>
      </w:r>
      <w:r>
        <w:t xml:space="preserve"> </w:t>
      </w:r>
      <w:r>
        <w:t xml:space="preserve">For as de Lugo himself notes (l. c. n. 316.), moral certitude is wont to be employed by the Doctors in various ways: but, for our purpose, two grades of moral certitude can be distinguished. The first is that of moral certitude</w:t>
      </w:r>
      <w:r>
        <w:t xml:space="preserve"> </w:t>
      </w:r>
      <w:r>
        <w:rPr>
          <w:iCs/>
          <w:i/>
        </w:rPr>
        <w:t xml:space="preserve">strictly</w:t>
      </w:r>
      <w:r>
        <w:t xml:space="preserve"> </w:t>
      </w:r>
      <w:r>
        <w:t xml:space="preserve">taken, insofar as it excludes every prudent doubt and every prudent fear: such is, e.g., the certitude of the existence of Rome, for those who have never seen it. But the other grade is that of moral certitude</w:t>
      </w:r>
      <w:r>
        <w:t xml:space="preserve"> </w:t>
      </w:r>
      <w:r>
        <w:rPr>
          <w:iCs/>
          <w:i/>
        </w:rPr>
        <w:t xml:space="preserve">broadly</w:t>
      </w:r>
      <w:r>
        <w:t xml:space="preserve"> </w:t>
      </w:r>
      <w:r>
        <w:t xml:space="preserve">taken, which indeed excludes a prudent probable judgment about the contrary object, but not also every fear: such is, e.g., the certitude which is had among Catholics about baptism validly received, when the priest, the minister, testifies to it. But the less proper moral certitude does not bring so necessary a connection with the truth; for although rarely, still sometimes falsity in fact occurs: and the more rarely falsity occurs, the more it approaches to moral certitude.</w:t>
      </w:r>
    </w:p>
    <w:p>
      <w:pPr>
        <w:numPr>
          <w:ilvl w:val="0"/>
          <w:numId w:val="1004"/>
        </w:numPr>
      </w:pPr>
      <w:r>
        <w:t xml:space="preserve">Hence he asserts (l. c. n. 318.) that moral certitude</w:t>
      </w:r>
      <w:r>
        <w:t xml:space="preserve"> </w:t>
      </w:r>
      <w:r>
        <w:rPr>
          <w:iCs/>
          <w:i/>
        </w:rPr>
        <w:t xml:space="preserve">strictly</w:t>
      </w:r>
      <w:r>
        <w:t xml:space="preserve"> </w:t>
      </w:r>
      <w:r>
        <w:t xml:space="preserve">taken concerning the credibility of the revelation is necessary, in order for something to be of faith</w:t>
      </w:r>
      <w:r>
        <w:t xml:space="preserve"> </w:t>
      </w:r>
      <w:r>
        <w:rPr>
          <w:iCs/>
          <w:i/>
        </w:rPr>
        <w:t xml:space="preserve">quoad nos.</w:t>
      </w:r>
      <w:r>
        <w:t xml:space="preserve"> </w:t>
      </w:r>
      <w:r>
        <w:t xml:space="preserve">Because, namely, he says, the assent of faith, from the command of the will and of pious affection, is elicited such and so firm as to exclude absolutely every fear concerning its object: but the will could not prudently command such an assent excluding all fear when concerning that object the intellect could prudently fear; for it would imprudently be forbidden to fear where it could prudently fear: therefore, in order that the will may prudently command such an assent excluding all fear, the object must be proposed as such that concerning it one cannot prudently fear.</w:t>
      </w:r>
    </w:p>
    <w:p>
      <w:pPr>
        <w:numPr>
          <w:ilvl w:val="0"/>
          <w:numId w:val="1004"/>
        </w:numPr>
      </w:pPr>
      <w:r>
        <w:t xml:space="preserve">II. Applying, therefore, these principles, which are common, to the first two of the three proposed questions (l. c. n. 310.), he infers — 1) that it is established for him who administered the baptism, with physical certitude, that the baptism was rightly conferred; therefore he can believe with divine faith that that child is in the state of grace, if that be of faith</w:t>
      </w:r>
      <w:r>
        <w:t xml:space="preserve"> </w:t>
      </w:r>
      <w:r>
        <w:rPr>
          <w:iCs/>
          <w:i/>
        </w:rPr>
        <w:t xml:space="preserve">quoad se.</w:t>
      </w:r>
      <w:r>
        <w:t xml:space="preserve"> </w:t>
      </w:r>
      <w:r>
        <w:t xml:space="preserve">— 2) But for him who should receive baptism from him, it cannot be certainly established, with a moral certitude excluding all fear, that in the particular case it was rightly conferred; since, although most rarely, it can nevertheless happen that the other lies; therefore he cannot believe with divine faith that he is in the state of grace. — 3) (l. c. n. 317.) By like reasoning a priest cannot believe with divine faith that this determinate host is consecrated: because with physical certitude indeed he can know that he has done whatever is required for consecrating validly; but with only a moral certitude not excluding all fear does he know that he is a priest (1).</w:t>
      </w:r>
    </w:p>
    <w:p>
      <w:pPr>
        <w:pStyle w:val="FirstParagraph"/>
      </w:pPr>
      <w:r>
        <w:t xml:space="preserve">(1) Note, however, that moral certitude broadly taken concerning the valid consecration of this host suffices for adoring it</w:t>
      </w:r>
      <w:r>
        <w:t xml:space="preserve"> </w:t>
      </w:r>
      <w:r>
        <w:rPr>
          <w:iCs/>
          <w:i/>
        </w:rPr>
        <w:t xml:space="preserve">absolutely.</w:t>
      </w:r>
      <w:r>
        <w:t xml:space="preserve"> </w:t>
      </w:r>
      <w:r>
        <w:t xml:space="preserve">For no one can, without sufficient foundation, be deprived of the worship due to him; for it would result in greater detriment, if no one were to be honored except by those who cannot even fear whether the honor is due: for hence it would come about that they would be honored only most rarely, and thus for the greater part they would be defrauded of the honor due to them. It suffices, therefore, for adoring Christ the Lord in the Eucharist, that prudent judgment excluding every prudent fear: for if that did not suffice, Christ would never be worshiped in the Eucharist — These things will become clearer from what is to be said in the third disputation.</w:t>
      </w:r>
    </w:p>
    <w:p>
      <w:pPr>
        <w:numPr>
          <w:ilvl w:val="0"/>
          <w:numId w:val="1005"/>
        </w:numPr>
      </w:pPr>
      <w:r>
        <w:t xml:space="preserve">But what is to be said of the third proposed question (whether it be of faith</w:t>
      </w:r>
      <w:r>
        <w:t xml:space="preserve"> </w:t>
      </w:r>
      <w:r>
        <w:rPr>
          <w:iCs/>
          <w:i/>
        </w:rPr>
        <w:t xml:space="preserve">quoad nos</w:t>
      </w:r>
      <w:r>
        <w:t xml:space="preserve"> </w:t>
      </w:r>
      <w:r>
        <w:t xml:space="preserve">that Leo XIII has authority over the universal Church, that the Council of Trent is legitimate, etc.)? For its solution, they note</w:t>
      </w:r>
      <w:r>
        <w:t xml:space="preserve"> </w:t>
      </w:r>
      <w:r>
        <w:rPr>
          <w:iCs/>
          <w:i/>
        </w:rPr>
        <w:t xml:space="preserve">first,</w:t>
      </w:r>
      <w:r>
        <w:t xml:space="preserve"> </w:t>
      </w:r>
      <w:r>
        <w:t xml:space="preserve">commonly, that the question proceeds concerning an undoubted Pontiff, and one received as such by the Church: for so long as there is doubt with foundation about the truth of the election, it is not of faith</w:t>
      </w:r>
      <w:r>
        <w:t xml:space="preserve"> </w:t>
      </w:r>
      <w:r>
        <w:rPr>
          <w:iCs/>
          <w:i/>
        </w:rPr>
        <w:t xml:space="preserve">quoad nos</w:t>
      </w:r>
      <w:r>
        <w:t xml:space="preserve"> </w:t>
      </w:r>
      <w:r>
        <w:t xml:space="preserve">that this man is the true Pope — See de Lugo (l. c. n. 325.).</w:t>
      </w:r>
    </w:p>
    <w:p>
      <w:pPr>
        <w:numPr>
          <w:ilvl w:val="0"/>
          <w:numId w:val="1005"/>
        </w:numPr>
      </w:pPr>
      <w:r>
        <w:t xml:space="preserve">But then all teach</w:t>
      </w:r>
      <w:r>
        <w:t xml:space="preserve"> </w:t>
      </w:r>
      <w:r>
        <w:rPr>
          <w:iCs/>
          <w:i/>
        </w:rPr>
        <w:t xml:space="preserve">secondly,</w:t>
      </w:r>
      <w:r>
        <w:t xml:space="preserve"> </w:t>
      </w:r>
      <w:r>
        <w:t xml:space="preserve">that</w:t>
      </w:r>
      <w:r>
        <w:t xml:space="preserve"> </w:t>
      </w:r>
      <w:r>
        <w:rPr>
          <w:iCs/>
          <w:i/>
        </w:rPr>
        <w:t xml:space="preserve">it is certain with a certitude worthy of the name,</w:t>
      </w:r>
      <w:r>
        <w:t xml:space="preserve"> </w:t>
      </w:r>
      <w:r>
        <w:t xml:space="preserve">excluding every doubt and every prudent fear, that this undoubted Pope has authority over the universal Church, or that this Council, received in the Church as legitimate, is truly legitimate. And this they prove:</w:t>
      </w:r>
    </w:p>
    <w:p>
      <w:pPr>
        <w:pStyle w:val="FirstParagraph"/>
      </w:pPr>
      <w:r>
        <w:t xml:space="preserve">1) Because among the thirty articles of John Huss condemned by the Council of Constance and Martin V, the eleventh is: « It is not necessary to believe that this man, whoever he is, who is the Roman Pontiff, is the head of any particular holy Church, unless God have predestined him. » — But of the 39 articles concerning which those who were suspected of the errors of Wickliff and Huss were, by the mandate of Martin V (in the Bull</w:t>
      </w:r>
      <w:r>
        <w:t xml:space="preserve"> </w:t>
      </w:r>
      <w:r>
        <w:rPr>
          <w:iCs/>
          <w:i/>
        </w:rPr>
        <w:t xml:space="preserve">Inter cunctas</w:t>
      </w:r>
      <w:r>
        <w:t xml:space="preserve">), to be interrogated, the fifth is: « whether he believes, holds, and asserts, that any general council whatever, and also that of Constance, represents the universal Church; » and the twenty-fourth: « whether he believes that the Pope canonically elected, whoever he shall be for the time being,</w:t>
      </w:r>
      <w:r>
        <w:t xml:space="preserve"> </w:t>
      </w:r>
      <w:r>
        <w:rPr>
          <w:iCs/>
          <w:i/>
        </w:rPr>
        <w:t xml:space="preserve">his name being expressed,</w:t>
      </w:r>
      <w:r>
        <w:t xml:space="preserve"> </w:t>
      </w:r>
      <w:r>
        <w:t xml:space="preserve">is the successor of blessed Peter, having supreme authority in the Church of God » — See Suarez (disp. 10. sect. 5. n. 2.; et disp. 9. sect. 9. n. 1.).</w:t>
      </w:r>
    </w:p>
    <w:p>
      <w:pPr>
        <w:pStyle w:val="BodyText"/>
      </w:pPr>
      <w:r>
        <w:t xml:space="preserve">2) Because, says de Lugo (disp. 1. n. 329.), just as we must believe by faith the things which the Pontiff, received by the universal Church, defines and proposes, so we must believe without misgiving that he is the true Pontiff: for either we can prudently have misgiving about this, or we cannot: if we can, then we cannot believe with divine faith the things which he defines: for as often as we can prudently have misgiving about the authority of the defining Pontiff, we cannot prudently be moved by his definition to restrain all misgiving concerning the thing defined. But if we cannot prudently have misgiving, etc.</w:t>
      </w:r>
    </w:p>
    <w:p>
      <w:pPr>
        <w:pStyle w:val="BodyText"/>
      </w:pPr>
      <w:r>
        <w:t xml:space="preserve">3) It is evident, says the same de Lugo (n. 328.), that the Church cannot be deceived by believing some error universally, since she is « the Pillar and ground of truth » (I. ad Timoth. II.), in which infallibility of the universal Church it seems no less to be contained that the Church cannot err in recognizing the true visible rule of her faith, than that she cannot err in the other things to be believed through faith: for an error concerning the very rule of truth and of faith would harm the Church more than one concerning other particular objects, since it would be an error in the very foundation of faith. Since, therefore, the visible rule which the Church follows in her faith, and altogether ought to follow, is her visible head, namely the supreme Pontiff, whose doctrine and definitions she must embrace, the Church cannot be deceived by accepting as Pontiff and rule of faith one who was not truly Pontiff.</w:t>
      </w:r>
    </w:p>
    <w:p>
      <w:pPr>
        <w:pStyle w:val="BodyText"/>
      </w:pPr>
      <w:r>
        <w:t xml:space="preserve">4) Hence this is conceded even by those theologians who deny that it is</w:t>
      </w:r>
      <w:r>
        <w:t xml:space="preserve"> </w:t>
      </w:r>
      <w:r>
        <w:rPr>
          <w:iCs/>
          <w:i/>
        </w:rPr>
        <w:t xml:space="preserve">de fide</w:t>
      </w:r>
      <w:r>
        <w:t xml:space="preserve"> </w:t>
      </w:r>
      <w:r>
        <w:t xml:space="preserve">that this Pope in the individual is true and legitimate. For they deny this, not because it cannot be evident to us with every certitude, so that it would only not be of faith</w:t>
      </w:r>
      <w:r>
        <w:t xml:space="preserve"> </w:t>
      </w:r>
      <w:r>
        <w:rPr>
          <w:iCs/>
          <w:i/>
        </w:rPr>
        <w:t xml:space="preserve">quoad nos;</w:t>
      </w:r>
      <w:r>
        <w:t xml:space="preserve"> </w:t>
      </w:r>
      <w:r>
        <w:t xml:space="preserve">but because they think it is not contained formally in explicit revelation, so that it is therefore not of faith</w:t>
      </w:r>
      <w:r>
        <w:t xml:space="preserve"> </w:t>
      </w:r>
      <w:r>
        <w:rPr>
          <w:iCs/>
          <w:i/>
        </w:rPr>
        <w:t xml:space="preserve">quoad nos,</w:t>
      </w:r>
      <w:r>
        <w:t xml:space="preserve"> </w:t>
      </w:r>
      <w:r>
        <w:t xml:space="preserve">because it is not of faith</w:t>
      </w:r>
      <w:r>
        <w:t xml:space="preserve"> </w:t>
      </w:r>
      <w:r>
        <w:rPr>
          <w:iCs/>
          <w:i/>
        </w:rPr>
        <w:t xml:space="preserve">quoad se.</w:t>
      </w:r>
    </w:p>
    <w:p>
      <w:pPr>
        <w:numPr>
          <w:ilvl w:val="0"/>
          <w:numId w:val="1006"/>
        </w:numPr>
      </w:pPr>
      <w:r>
        <w:rPr>
          <w:iCs/>
          <w:i/>
        </w:rPr>
        <w:t xml:space="preserve">You will say,</w:t>
      </w:r>
      <w:r>
        <w:t xml:space="preserve"> </w:t>
      </w:r>
      <w:r>
        <w:t xml:space="preserve">however: others, besides the minister of the Sacrament of baptism, cannot be certain with moral certitude</w:t>
      </w:r>
      <w:r>
        <w:t xml:space="preserve"> </w:t>
      </w:r>
      <w:r>
        <w:rPr>
          <w:iCs/>
          <w:i/>
        </w:rPr>
        <w:t xml:space="preserve">strictly</w:t>
      </w:r>
      <w:r>
        <w:t xml:space="preserve"> </w:t>
      </w:r>
      <w:r>
        <w:t xml:space="preserve">so called that this infant has been duly baptized; therefore the same must be said of the baptism received by the Supreme Pontiff: but if it is not morally truly certain that he validly received baptism, neither can it be certain that he is the true Pontiff. —</w:t>
      </w:r>
      <w:r>
        <w:t xml:space="preserve"> </w:t>
      </w:r>
      <w:r>
        <w:rPr>
          <w:iCs/>
          <w:i/>
        </w:rPr>
        <w:t xml:space="preserve">It is answered,</w:t>
      </w:r>
      <w:r>
        <w:t xml:space="preserve"> </w:t>
      </w:r>
      <w:r>
        <w:t xml:space="preserve">however: since to be Pontiff essentially includes being baptized, by the very fact that it is certainly established that he was legitimately elected and is the true Pontiff (that this is certain we have shown), it is also established that he was validly baptized — See Viva (de Fide, disp. 2. q. 3. n. 2.).</w:t>
      </w:r>
    </w:p>
    <w:p>
      <w:pPr>
        <w:numPr>
          <w:ilvl w:val="0"/>
          <w:numId w:val="1006"/>
        </w:numPr>
      </w:pPr>
      <w:r>
        <w:t xml:space="preserve">Most true,</w:t>
      </w:r>
      <w:r>
        <w:t xml:space="preserve"> </w:t>
      </w:r>
      <w:r>
        <w:rPr>
          <w:iCs/>
          <w:i/>
        </w:rPr>
        <w:t xml:space="preserve">thirdly,</w:t>
      </w:r>
      <w:r>
        <w:t xml:space="preserve"> </w:t>
      </w:r>
      <w:r>
        <w:t xml:space="preserve">is what Viva teaches (Damn. theses, quæstio prodroma, n. 14.), although some formerly denied it; namely, that even if it were not of faith, but only morally certain with certitude truly so called, that this Pope is the true Pope, that this Council is legitimate, etc.: this would suffice for us to be bound to believe with divine faith, which they declare must thus be held: « just as, » he says, « in the opinion of all, in order that whatever a General Council legitimately assembled defines must be believed as of faith, it need not be of faith that it is legitimately assembled, but it suffices that it be morally certain, such that it cannot reasonably be denied; just as, in order that what is contained in the Scripture which we have in our hands must be believed as of faith, it need not be of faith that this is that Scripture which the Pontiff declared to be Canonical, but moral certitude is enough; just as also, as to the signs of credibility prerequired for believing the Mysteries of faith with divine faith, it suffices that they be morally certain. And the a priori reason is that divine Faith rests solely upon God speaking, but not upon the signs of credibility, or the other prerequisites, whereby God’s speaking becomes known to us; wherefore, just as in natural things the form can be more excellent than the condition prerequired for it, so the certitude of Faith resting upon God speaking can be greater than the certitude which we have concerning the signs of credibility and the other prerequisites for believing; therefore, just as moral certitude concerning the signs of credibility suffices for us to be bound to believe the revealed mysteries as of faith, so moral certitude that this individual Pontiff is a true Pontiff suffices…. for us to be bound to believe as of faith the things which he decrees. »</w:t>
      </w:r>
    </w:p>
    <w:p>
      <w:pPr>
        <w:numPr>
          <w:ilvl w:val="0"/>
          <w:numId w:val="1006"/>
        </w:numPr>
      </w:pPr>
      <w:r>
        <w:t xml:space="preserve">II. From all these things it is clear that it is of</w:t>
      </w:r>
      <w:r>
        <w:t xml:space="preserve"> </w:t>
      </w:r>
      <w:r>
        <w:rPr>
          <w:iCs/>
          <w:i/>
        </w:rPr>
        <w:t xml:space="preserve">faith</w:t>
      </w:r>
      <w:r>
        <w:t xml:space="preserve"> </w:t>
      </w:r>
      <w:r>
        <w:rPr>
          <w:iCs/>
          <w:i/>
        </w:rPr>
        <w:t xml:space="preserve">quoad nos</w:t>
      </w:r>
      <w:r>
        <w:t xml:space="preserve"> </w:t>
      </w:r>
      <w:r>
        <w:t xml:space="preserve">that Leo XIII is the legitimate successor of St. Peter, and has authority over the universal Church; that the Council of Trent is a legitimate Council, etc., provided it be of faith</w:t>
      </w:r>
      <w:r>
        <w:t xml:space="preserve"> </w:t>
      </w:r>
      <w:r>
        <w:rPr>
          <w:iCs/>
          <w:i/>
        </w:rPr>
        <w:t xml:space="preserve">quoad se,</w:t>
      </w:r>
      <w:r>
        <w:t xml:space="preserve"> </w:t>
      </w:r>
      <w:r>
        <w:t xml:space="preserve">that is, provided it be truly revealed. Wherefore it only remains to inquire whether it has been revealed that Leo XIII is the true Pontiff, etc., and hence whether it is of faith</w:t>
      </w:r>
      <w:r>
        <w:t xml:space="preserve"> </w:t>
      </w:r>
      <w:r>
        <w:rPr>
          <w:iCs/>
          <w:i/>
        </w:rPr>
        <w:t xml:space="preserve">quoad se.</w:t>
      </w:r>
    </w:p>
    <w:p>
      <w:pPr>
        <w:numPr>
          <w:ilvl w:val="0"/>
          <w:numId w:val="1006"/>
        </w:numPr>
      </w:pPr>
      <w:r>
        <w:t xml:space="preserve">In this matter, then, there are two opinions. The</w:t>
      </w:r>
      <w:r>
        <w:t xml:space="preserve"> </w:t>
      </w:r>
      <w:r>
        <w:rPr>
          <w:iCs/>
          <w:i/>
        </w:rPr>
        <w:t xml:space="preserve">first,</w:t>
      </w:r>
      <w:r>
        <w:t xml:space="preserve"> </w:t>
      </w:r>
      <w:r>
        <w:t xml:space="preserve">which, besides the Authors cited by Suarez (disp. 10. sect. 5. n. 2.), Schrader also follows among the more recent writers (de Theol. gener., pag. 114 not.), and, as it seems, Card. Franzelin (de Tradit. etc. pag. 122. 129.), teaches that the proposition in question is a</w:t>
      </w:r>
      <w:r>
        <w:t xml:space="preserve"> </w:t>
      </w:r>
      <w:r>
        <w:rPr>
          <w:iCs/>
          <w:i/>
        </w:rPr>
        <w:t xml:space="preserve">theological</w:t>
      </w:r>
      <w:r>
        <w:t xml:space="preserve"> </w:t>
      </w:r>
      <w:r>
        <w:t xml:space="preserve">truth, or is to be held by</w:t>
      </w:r>
      <w:r>
        <w:t xml:space="preserve"> </w:t>
      </w:r>
      <w:r>
        <w:rPr>
          <w:iCs/>
          <w:i/>
        </w:rPr>
        <w:t xml:space="preserve">Ecclesiastical faith,</w:t>
      </w:r>
      <w:r>
        <w:t xml:space="preserve"> </w:t>
      </w:r>
      <w:r>
        <w:t xml:space="preserve">or by faith</w:t>
      </w:r>
      <w:r>
        <w:t xml:space="preserve"> </w:t>
      </w:r>
      <w:r>
        <w:rPr>
          <w:iCs/>
          <w:i/>
        </w:rPr>
        <w:t xml:space="preserve">mediately divine;</w:t>
      </w:r>
      <w:r>
        <w:t xml:space="preserve"> </w:t>
      </w:r>
      <w:r>
        <w:t xml:space="preserve">but denies that it is of divine faith immediately</w:t>
      </w:r>
      <w:r>
        <w:t xml:space="preserve"> </w:t>
      </w:r>
      <w:r>
        <w:rPr>
          <w:iCs/>
          <w:i/>
        </w:rPr>
        <w:t xml:space="preserve">quoad se.</w:t>
      </w:r>
      <w:r>
        <w:t xml:space="preserve"> </w:t>
      </w:r>
      <w:r>
        <w:t xml:space="preserve">Their reason is that, although it is revealed that « all Pontiffs legitimately elected have authority over the universal Church, » it is nevertheless not revealed that « this Pontiff has been legitimately elected. » But the</w:t>
      </w:r>
      <w:r>
        <w:t xml:space="preserve"> </w:t>
      </w:r>
      <w:r>
        <w:rPr>
          <w:iCs/>
          <w:i/>
        </w:rPr>
        <w:t xml:space="preserve">second</w:t>
      </w:r>
      <w:r>
        <w:t xml:space="preserve"> </w:t>
      </w:r>
      <w:r>
        <w:t xml:space="preserve">opinion, which Suarez, de Lugo, Valentia, Bellarmine, Salmeron, Ripalda, Viva, etc. hold, affirms it. For they say that by the very fact that the universal proposition « all Pontiffs legitimately elected have authority over the universal Church » has been revealed, there has been revealed the particular proposition, formally and implicitly contained in it, « this Pontiff, legitimately elected, has authority over the universal Church. » Nor does it stand in the way that it is not revealed that this man has been legitimately elected; for it suffices, they say, that this be</w:t>
      </w:r>
      <w:r>
        <w:t xml:space="preserve"> </w:t>
      </w:r>
      <w:r>
        <w:rPr>
          <w:iCs/>
          <w:i/>
        </w:rPr>
        <w:t xml:space="preserve">certainly</w:t>
      </w:r>
      <w:r>
        <w:t xml:space="preserve"> </w:t>
      </w:r>
      <w:r>
        <w:t xml:space="preserve">established: just as it suffices that it be</w:t>
      </w:r>
      <w:r>
        <w:t xml:space="preserve"> </w:t>
      </w:r>
      <w:r>
        <w:rPr>
          <w:iCs/>
          <w:i/>
        </w:rPr>
        <w:t xml:space="preserve">certainly</w:t>
      </w:r>
      <w:r>
        <w:t xml:space="preserve"> </w:t>
      </w:r>
      <w:r>
        <w:t xml:space="preserve">established that Peter was born of Adam by natural generation, in order that we may believe that he is infected with original sin, and that he is mortal; since it is revealed that all who are naturally begotten of Adam (unless a privilege be established) contract original sin and are subject to death. » « We say, » says de Lugo (disp. 1. n. 330.), « that it has been revealed by God, by a universal revelation, that this individual man, namely our most holy Lord Urban VIII, is the supreme Pontiff: » whence he adds « that it can also be believed</w:t>
      </w:r>
      <w:r>
        <w:t xml:space="preserve"> </w:t>
      </w:r>
      <w:r>
        <w:rPr>
          <w:iCs/>
          <w:i/>
        </w:rPr>
        <w:t xml:space="preserve">immediately as of faith.</w:t>
      </w:r>
      <w:r>
        <w:t xml:space="preserve"> </w:t>
      </w:r>
      <w:r>
        <w:t xml:space="preserve">»</w:t>
      </w:r>
    </w:p>
    <w:p>
      <w:pPr>
        <w:numPr>
          <w:ilvl w:val="0"/>
          <w:numId w:val="1006"/>
        </w:numPr>
      </w:pPr>
      <w:r>
        <w:t xml:space="preserve">That the second opinion may be well understood, it is worthwhile to recall that universal revelations enunciating some predicate of a</w:t>
      </w:r>
      <w:r>
        <w:t xml:space="preserve"> </w:t>
      </w:r>
      <w:r>
        <w:rPr>
          <w:iCs/>
          <w:i/>
        </w:rPr>
        <w:t xml:space="preserve">complex</w:t>
      </w:r>
      <w:r>
        <w:t xml:space="preserve"> </w:t>
      </w:r>
      <w:r>
        <w:t xml:space="preserve">subject, that is, one affected by some circumstance, can seem to be</w:t>
      </w:r>
      <w:r>
        <w:t xml:space="preserve"> </w:t>
      </w:r>
      <w:r>
        <w:rPr>
          <w:iCs/>
          <w:i/>
        </w:rPr>
        <w:t xml:space="preserve">conditioned:</w:t>
      </w:r>
      <w:r>
        <w:t xml:space="preserve"> </w:t>
      </w:r>
      <w:r>
        <w:t xml:space="preserve">such are, e.g., the universal enunciations « all those naturally begotten of Adam contract original sin » — « all who are duly baptized are justified » — « all legitimate successors of St. Peter have authority over the universal Church. » In these it could be said: the</w:t>
      </w:r>
      <w:r>
        <w:t xml:space="preserve"> </w:t>
      </w:r>
      <w:r>
        <w:rPr>
          <w:iCs/>
          <w:i/>
        </w:rPr>
        <w:t xml:space="preserve">contraction</w:t>
      </w:r>
      <w:r>
        <w:t xml:space="preserve"> </w:t>
      </w:r>
      <w:r>
        <w:t xml:space="preserve">of original sin is not enunciated of this man (Peter)</w:t>
      </w:r>
      <w:r>
        <w:t xml:space="preserve"> </w:t>
      </w:r>
      <w:r>
        <w:rPr>
          <w:iCs/>
          <w:i/>
        </w:rPr>
        <w:t xml:space="preserve">as such,</w:t>
      </w:r>
      <w:r>
        <w:t xml:space="preserve"> </w:t>
      </w:r>
      <w:r>
        <w:t xml:space="preserve">but of this man</w:t>
      </w:r>
      <w:r>
        <w:t xml:space="preserve"> </w:t>
      </w:r>
      <w:r>
        <w:rPr>
          <w:iCs/>
          <w:i/>
        </w:rPr>
        <w:t xml:space="preserve">naturally</w:t>
      </w:r>
      <w:r>
        <w:t xml:space="preserve"> </w:t>
      </w:r>
      <w:r>
        <w:t xml:space="preserve">begotten</w:t>
      </w:r>
      <w:r>
        <w:t xml:space="preserve"> </w:t>
      </w:r>
      <w:r>
        <w:rPr>
          <w:iCs/>
          <w:i/>
        </w:rPr>
        <w:t xml:space="preserve">of Adam</w:t>
      </w:r>
      <w:r>
        <w:t xml:space="preserve"> </w:t>
      </w:r>
      <w:r>
        <w:t xml:space="preserve">— justification is not enunciated of this little child</w:t>
      </w:r>
      <w:r>
        <w:t xml:space="preserve"> </w:t>
      </w:r>
      <w:r>
        <w:rPr>
          <w:iCs/>
          <w:i/>
        </w:rPr>
        <w:t xml:space="preserve">as such,</w:t>
      </w:r>
      <w:r>
        <w:t xml:space="preserve"> </w:t>
      </w:r>
      <w:r>
        <w:t xml:space="preserve">but of this little child</w:t>
      </w:r>
      <w:r>
        <w:t xml:space="preserve"> </w:t>
      </w:r>
      <w:r>
        <w:rPr>
          <w:iCs/>
          <w:i/>
        </w:rPr>
        <w:t xml:space="preserve">duly baptized</w:t>
      </w:r>
      <w:r>
        <w:t xml:space="preserve"> </w:t>
      </w:r>
      <w:r>
        <w:t xml:space="preserve">— authority over the universal Church is not enunciated of this man (Leo XIII)</w:t>
      </w:r>
      <w:r>
        <w:t xml:space="preserve"> </w:t>
      </w:r>
      <w:r>
        <w:rPr>
          <w:iCs/>
          <w:i/>
        </w:rPr>
        <w:t xml:space="preserve">as such,</w:t>
      </w:r>
      <w:r>
        <w:t xml:space="preserve"> </w:t>
      </w:r>
      <w:r>
        <w:t xml:space="preserve">but of this man</w:t>
      </w:r>
      <w:r>
        <w:t xml:space="preserve"> </w:t>
      </w:r>
      <w:r>
        <w:rPr>
          <w:iCs/>
          <w:i/>
        </w:rPr>
        <w:t xml:space="preserve">legitimate successor of St. Peter.</w:t>
      </w:r>
      <w:r>
        <w:t xml:space="preserve"> </w:t>
      </w:r>
      <w:r>
        <w:t xml:space="preserve">Wherefore it is true that this man has authority over the universal Church,</w:t>
      </w:r>
      <w:r>
        <w:t xml:space="preserve"> </w:t>
      </w:r>
      <w:r>
        <w:rPr>
          <w:iCs/>
          <w:i/>
        </w:rPr>
        <w:t xml:space="preserve">if he is the legitimate successor of St. Peter:</w:t>
      </w:r>
      <w:r>
        <w:t xml:space="preserve"> </w:t>
      </w:r>
      <w:r>
        <w:t xml:space="preserve">that is, the truth of this proposition is</w:t>
      </w:r>
      <w:r>
        <w:t xml:space="preserve"> </w:t>
      </w:r>
      <w:r>
        <w:rPr>
          <w:iCs/>
          <w:i/>
        </w:rPr>
        <w:t xml:space="preserve">conditioned.</w:t>
      </w:r>
    </w:p>
    <w:p>
      <w:pPr>
        <w:numPr>
          <w:ilvl w:val="0"/>
          <w:numId w:val="1006"/>
        </w:numPr>
      </w:pPr>
      <w:r>
        <w:t xml:space="preserve">But, as we have said (n. 418.), universal propositions of this kind, considered in themselves, can be enunciated and revealed either in an absolute or in a conditioned sense: it must, however, be established from elsewhere whether they have been revealed absolutely or conditionally. Now the rule to which one must certainly attend, in order to discern this, is « whether the verification of the condition can, without a new revelation, be known with certainty, with that certitude with which the revelation must be foreknown in order that we may believe with divine faith. » Hence those propositions, « all who, duly disposed, receive a sacrament receive grace, » « all infants duly baptized are justified, » etc., cannot be said to be revealed</w:t>
      </w:r>
      <w:r>
        <w:t xml:space="preserve"> </w:t>
      </w:r>
      <w:r>
        <w:rPr>
          <w:iCs/>
          <w:i/>
        </w:rPr>
        <w:t xml:space="preserve">absolutely,</w:t>
      </w:r>
      <w:r>
        <w:t xml:space="preserve"> </w:t>
      </w:r>
      <w:r>
        <w:t xml:space="preserve">but only</w:t>
      </w:r>
      <w:r>
        <w:t xml:space="preserve"> </w:t>
      </w:r>
      <w:r>
        <w:rPr>
          <w:iCs/>
          <w:i/>
        </w:rPr>
        <w:t xml:space="preserve">conditionally;</w:t>
      </w:r>
      <w:r>
        <w:t xml:space="preserve"> </w:t>
      </w:r>
      <w:r>
        <w:t xml:space="preserve">for as to the first, the verification of the condition cannot, without a new revelation, be simply established; as to the second, it cannot be established for the common faith of the faithful with the certitude required for believing. But the same cannot be said, as we showed a little before, of the proposition « all legitimate Successors of St. Peter have authority over the universal Church: » and therefore nothing prevents our saying that it is</w:t>
      </w:r>
      <w:r>
        <w:t xml:space="preserve"> </w:t>
      </w:r>
      <w:r>
        <w:rPr>
          <w:iCs/>
          <w:i/>
        </w:rPr>
        <w:t xml:space="preserve">absolutely</w:t>
      </w:r>
      <w:r>
        <w:t xml:space="preserve"> </w:t>
      </w:r>
      <w:r>
        <w:t xml:space="preserve">revealed; just as the proposition « all who descend from Adam by way of ordinary generation, the B. V. Mary excepted, contract original sin » is deemed absolutely revealed: in which likewise it can duly be established that Peter, Paul, etc. were thus begotten of Adam, and therefore were conceived in original guilt.</w:t>
      </w:r>
    </w:p>
    <w:p>
      <w:pPr>
        <w:numPr>
          <w:ilvl w:val="0"/>
          <w:numId w:val="1006"/>
        </w:numPr>
      </w:pPr>
      <w:r>
        <w:t xml:space="preserve">Ripalda confirms the matter somewhat differently, saying: there can be</w:t>
      </w:r>
      <w:r>
        <w:t xml:space="preserve"> </w:t>
      </w:r>
      <w:r>
        <w:rPr>
          <w:iCs/>
          <w:i/>
        </w:rPr>
        <w:t xml:space="preserve">absolute</w:t>
      </w:r>
      <w:r>
        <w:t xml:space="preserve"> </w:t>
      </w:r>
      <w:r>
        <w:t xml:space="preserve">faith of the object (this Pontiff has authority over the universal Church), when it has been sufficiently established that the condition exists absolutely, and therefore that the conditioned truth exists as absolute. For the absolute truth is altogether indistinct from the conditioned, and the absolute cannot be denied without the conditioned being denied. For if it be denied that this man, legitimately elected, or legitimate successor of St. Peter, has authority over the universal Church, by that very fact it is denied that he has that authority if he is the legitimate successor of St. Peter. Therefore, he concludes (de Fide, disp. 8. n. 67.), « when the condition necessary for the revealed predicate to belong to the object exists absolutely, it is absolutely credible through faith that such a predicate belongs to the singular subject, because in very fact the object of the judgment by which we enunciate such a predicate absolutely of the subject is true from divine revelation — See also de Lugo (disp. 1. nn. 308. seqq.; et a n. 325.).</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422">
    <w:nsid w:val="A9920422"/>
    <w:multiLevelType w:val="multilevel"/>
    <w:lvl w:ilvl="0">
      <w:start w:val="422"/>
      <w:numFmt w:val="decimal"/>
      <w:lvlText w:val="%1."/>
      <w:lvlJc w:val="left"/>
      <w:pPr>
        <w:ind w:left="720" w:hanging="480"/>
      </w:pPr>
    </w:lvl>
    <w:lvl w:ilvl="1">
      <w:start w:val="422"/>
      <w:numFmt w:val="lowerLetter"/>
      <w:lvlText w:val="%2."/>
      <w:lvlJc w:val="left"/>
      <w:pPr>
        <w:ind w:left="1440" w:hanging="480"/>
      </w:pPr>
    </w:lvl>
    <w:lvl w:ilvl="2">
      <w:start w:val="422"/>
      <w:numFmt w:val="lowerRoman"/>
      <w:lvlText w:val="%3."/>
      <w:lvlJc w:val="left"/>
      <w:pPr>
        <w:ind w:left="2160" w:hanging="480"/>
      </w:pPr>
    </w:lvl>
    <w:lvl w:ilvl="3">
      <w:start w:val="422"/>
      <w:numFmt w:val="decimal"/>
      <w:lvlText w:val="%4."/>
      <w:lvlJc w:val="left"/>
      <w:pPr>
        <w:ind w:left="2880" w:hanging="480"/>
      </w:pPr>
    </w:lvl>
    <w:lvl w:ilvl="4">
      <w:start w:val="422"/>
      <w:numFmt w:val="lowerLetter"/>
      <w:lvlText w:val="%5."/>
      <w:lvlJc w:val="left"/>
      <w:pPr>
        <w:ind w:left="3600" w:hanging="480"/>
      </w:pPr>
    </w:lvl>
    <w:lvl w:ilvl="5">
      <w:start w:val="422"/>
      <w:numFmt w:val="lowerRoman"/>
      <w:lvlText w:val="%6."/>
      <w:lvlJc w:val="left"/>
      <w:pPr>
        <w:ind w:left="4320" w:hanging="480"/>
      </w:pPr>
    </w:lvl>
    <w:lvl w:ilvl="6">
      <w:start w:val="422"/>
      <w:numFmt w:val="decimal"/>
      <w:lvlText w:val="%7."/>
      <w:lvlJc w:val="left"/>
      <w:pPr>
        <w:ind w:left="5040" w:hanging="480"/>
      </w:pPr>
    </w:lvl>
    <w:lvl w:ilvl="7">
      <w:start w:val="422"/>
      <w:numFmt w:val="lowerLetter"/>
      <w:lvlText w:val="%8."/>
      <w:lvlJc w:val="left"/>
      <w:pPr>
        <w:ind w:left="5760" w:hanging="480"/>
      </w:pPr>
    </w:lvl>
    <w:lvl w:ilvl="8">
      <w:start w:val="422"/>
      <w:numFmt w:val="lowerRoman"/>
      <w:lvlText w:val="%9."/>
      <w:lvlJc w:val="left"/>
      <w:pPr>
        <w:ind w:left="6480" w:hanging="480"/>
      </w:pPr>
    </w:lvl>
  </w:abstractNum>
  <w:abstractNum w:abstractNumId="9920423">
    <w:nsid w:val="A9920423"/>
    <w:multiLevelType w:val="multilevel"/>
    <w:lvl w:ilvl="0">
      <w:start w:val="423"/>
      <w:numFmt w:val="decimal"/>
      <w:lvlText w:val="%1."/>
      <w:lvlJc w:val="left"/>
      <w:pPr>
        <w:ind w:left="720" w:hanging="480"/>
      </w:pPr>
    </w:lvl>
    <w:lvl w:ilvl="1">
      <w:start w:val="423"/>
      <w:numFmt w:val="lowerLetter"/>
      <w:lvlText w:val="%2."/>
      <w:lvlJc w:val="left"/>
      <w:pPr>
        <w:ind w:left="1440" w:hanging="480"/>
      </w:pPr>
    </w:lvl>
    <w:lvl w:ilvl="2">
      <w:start w:val="423"/>
      <w:numFmt w:val="lowerRoman"/>
      <w:lvlText w:val="%3."/>
      <w:lvlJc w:val="left"/>
      <w:pPr>
        <w:ind w:left="2160" w:hanging="480"/>
      </w:pPr>
    </w:lvl>
    <w:lvl w:ilvl="3">
      <w:start w:val="423"/>
      <w:numFmt w:val="decimal"/>
      <w:lvlText w:val="%4."/>
      <w:lvlJc w:val="left"/>
      <w:pPr>
        <w:ind w:left="2880" w:hanging="480"/>
      </w:pPr>
    </w:lvl>
    <w:lvl w:ilvl="4">
      <w:start w:val="423"/>
      <w:numFmt w:val="lowerLetter"/>
      <w:lvlText w:val="%5."/>
      <w:lvlJc w:val="left"/>
      <w:pPr>
        <w:ind w:left="3600" w:hanging="480"/>
      </w:pPr>
    </w:lvl>
    <w:lvl w:ilvl="5">
      <w:start w:val="423"/>
      <w:numFmt w:val="lowerRoman"/>
      <w:lvlText w:val="%6."/>
      <w:lvlJc w:val="left"/>
      <w:pPr>
        <w:ind w:left="4320" w:hanging="480"/>
      </w:pPr>
    </w:lvl>
    <w:lvl w:ilvl="6">
      <w:start w:val="423"/>
      <w:numFmt w:val="decimal"/>
      <w:lvlText w:val="%7."/>
      <w:lvlJc w:val="left"/>
      <w:pPr>
        <w:ind w:left="5040" w:hanging="480"/>
      </w:pPr>
    </w:lvl>
    <w:lvl w:ilvl="7">
      <w:start w:val="423"/>
      <w:numFmt w:val="lowerLetter"/>
      <w:lvlText w:val="%8."/>
      <w:lvlJc w:val="left"/>
      <w:pPr>
        <w:ind w:left="5760" w:hanging="480"/>
      </w:pPr>
    </w:lvl>
    <w:lvl w:ilvl="8">
      <w:start w:val="423"/>
      <w:numFmt w:val="lowerRoman"/>
      <w:lvlText w:val="%9."/>
      <w:lvlJc w:val="left"/>
      <w:pPr>
        <w:ind w:left="6480" w:hanging="480"/>
      </w:pPr>
    </w:lvl>
  </w:abstractNum>
  <w:abstractNum w:abstractNumId="9920424">
    <w:nsid w:val="A9920424"/>
    <w:multiLevelType w:val="multilevel"/>
    <w:lvl w:ilvl="0">
      <w:start w:val="424"/>
      <w:numFmt w:val="decimal"/>
      <w:lvlText w:val="%1."/>
      <w:lvlJc w:val="left"/>
      <w:pPr>
        <w:ind w:left="720" w:hanging="480"/>
      </w:pPr>
    </w:lvl>
    <w:lvl w:ilvl="1">
      <w:start w:val="424"/>
      <w:numFmt w:val="lowerLetter"/>
      <w:lvlText w:val="%2."/>
      <w:lvlJc w:val="left"/>
      <w:pPr>
        <w:ind w:left="1440" w:hanging="480"/>
      </w:pPr>
    </w:lvl>
    <w:lvl w:ilvl="2">
      <w:start w:val="424"/>
      <w:numFmt w:val="lowerRoman"/>
      <w:lvlText w:val="%3."/>
      <w:lvlJc w:val="left"/>
      <w:pPr>
        <w:ind w:left="2160" w:hanging="480"/>
      </w:pPr>
    </w:lvl>
    <w:lvl w:ilvl="3">
      <w:start w:val="424"/>
      <w:numFmt w:val="decimal"/>
      <w:lvlText w:val="%4."/>
      <w:lvlJc w:val="left"/>
      <w:pPr>
        <w:ind w:left="2880" w:hanging="480"/>
      </w:pPr>
    </w:lvl>
    <w:lvl w:ilvl="4">
      <w:start w:val="424"/>
      <w:numFmt w:val="lowerLetter"/>
      <w:lvlText w:val="%5."/>
      <w:lvlJc w:val="left"/>
      <w:pPr>
        <w:ind w:left="3600" w:hanging="480"/>
      </w:pPr>
    </w:lvl>
    <w:lvl w:ilvl="5">
      <w:start w:val="424"/>
      <w:numFmt w:val="lowerRoman"/>
      <w:lvlText w:val="%6."/>
      <w:lvlJc w:val="left"/>
      <w:pPr>
        <w:ind w:left="4320" w:hanging="480"/>
      </w:pPr>
    </w:lvl>
    <w:lvl w:ilvl="6">
      <w:start w:val="424"/>
      <w:numFmt w:val="decimal"/>
      <w:lvlText w:val="%7."/>
      <w:lvlJc w:val="left"/>
      <w:pPr>
        <w:ind w:left="5040" w:hanging="480"/>
      </w:pPr>
    </w:lvl>
    <w:lvl w:ilvl="7">
      <w:start w:val="424"/>
      <w:numFmt w:val="lowerLetter"/>
      <w:lvlText w:val="%8."/>
      <w:lvlJc w:val="left"/>
      <w:pPr>
        <w:ind w:left="5760" w:hanging="480"/>
      </w:pPr>
    </w:lvl>
    <w:lvl w:ilvl="8">
      <w:start w:val="424"/>
      <w:numFmt w:val="lowerRoman"/>
      <w:lvlText w:val="%9."/>
      <w:lvlJc w:val="left"/>
      <w:pPr>
        <w:ind w:left="6480" w:hanging="480"/>
      </w:pPr>
    </w:lvl>
  </w:abstractNum>
  <w:abstractNum w:abstractNumId="9920425">
    <w:nsid w:val="A9920425"/>
    <w:multiLevelType w:val="multilevel"/>
    <w:lvl w:ilvl="0">
      <w:start w:val="425"/>
      <w:numFmt w:val="decimal"/>
      <w:lvlText w:val="%1."/>
      <w:lvlJc w:val="left"/>
      <w:pPr>
        <w:ind w:left="720" w:hanging="480"/>
      </w:pPr>
    </w:lvl>
    <w:lvl w:ilvl="1">
      <w:start w:val="425"/>
      <w:numFmt w:val="lowerLetter"/>
      <w:lvlText w:val="%2."/>
      <w:lvlJc w:val="left"/>
      <w:pPr>
        <w:ind w:left="1440" w:hanging="480"/>
      </w:pPr>
    </w:lvl>
    <w:lvl w:ilvl="2">
      <w:start w:val="425"/>
      <w:numFmt w:val="lowerRoman"/>
      <w:lvlText w:val="%3."/>
      <w:lvlJc w:val="left"/>
      <w:pPr>
        <w:ind w:left="2160" w:hanging="480"/>
      </w:pPr>
    </w:lvl>
    <w:lvl w:ilvl="3">
      <w:start w:val="425"/>
      <w:numFmt w:val="decimal"/>
      <w:lvlText w:val="%4."/>
      <w:lvlJc w:val="left"/>
      <w:pPr>
        <w:ind w:left="2880" w:hanging="480"/>
      </w:pPr>
    </w:lvl>
    <w:lvl w:ilvl="4">
      <w:start w:val="425"/>
      <w:numFmt w:val="lowerLetter"/>
      <w:lvlText w:val="%5."/>
      <w:lvlJc w:val="left"/>
      <w:pPr>
        <w:ind w:left="3600" w:hanging="480"/>
      </w:pPr>
    </w:lvl>
    <w:lvl w:ilvl="5">
      <w:start w:val="425"/>
      <w:numFmt w:val="lowerRoman"/>
      <w:lvlText w:val="%6."/>
      <w:lvlJc w:val="left"/>
      <w:pPr>
        <w:ind w:left="4320" w:hanging="480"/>
      </w:pPr>
    </w:lvl>
    <w:lvl w:ilvl="6">
      <w:start w:val="425"/>
      <w:numFmt w:val="decimal"/>
      <w:lvlText w:val="%7."/>
      <w:lvlJc w:val="left"/>
      <w:pPr>
        <w:ind w:left="5040" w:hanging="480"/>
      </w:pPr>
    </w:lvl>
    <w:lvl w:ilvl="7">
      <w:start w:val="425"/>
      <w:numFmt w:val="lowerLetter"/>
      <w:lvlText w:val="%8."/>
      <w:lvlJc w:val="left"/>
      <w:pPr>
        <w:ind w:left="5760" w:hanging="480"/>
      </w:pPr>
    </w:lvl>
    <w:lvl w:ilvl="8">
      <w:start w:val="425"/>
      <w:numFmt w:val="lowerRoman"/>
      <w:lvlText w:val="%9."/>
      <w:lvlJc w:val="left"/>
      <w:pPr>
        <w:ind w:left="6480" w:hanging="480"/>
      </w:pPr>
    </w:lvl>
  </w:abstractNum>
  <w:abstractNum w:abstractNumId="9920431">
    <w:nsid w:val="A9920431"/>
    <w:multiLevelType w:val="multilevel"/>
    <w:lvl w:ilvl="0">
      <w:start w:val="431"/>
      <w:numFmt w:val="decimal"/>
      <w:lvlText w:val="%1."/>
      <w:lvlJc w:val="left"/>
      <w:pPr>
        <w:ind w:left="720" w:hanging="480"/>
      </w:pPr>
    </w:lvl>
    <w:lvl w:ilvl="1">
      <w:start w:val="431"/>
      <w:numFmt w:val="lowerLetter"/>
      <w:lvlText w:val="%2."/>
      <w:lvlJc w:val="left"/>
      <w:pPr>
        <w:ind w:left="1440" w:hanging="480"/>
      </w:pPr>
    </w:lvl>
    <w:lvl w:ilvl="2">
      <w:start w:val="431"/>
      <w:numFmt w:val="lowerRoman"/>
      <w:lvlText w:val="%3."/>
      <w:lvlJc w:val="left"/>
      <w:pPr>
        <w:ind w:left="2160" w:hanging="480"/>
      </w:pPr>
    </w:lvl>
    <w:lvl w:ilvl="3">
      <w:start w:val="431"/>
      <w:numFmt w:val="decimal"/>
      <w:lvlText w:val="%4."/>
      <w:lvlJc w:val="left"/>
      <w:pPr>
        <w:ind w:left="2880" w:hanging="480"/>
      </w:pPr>
    </w:lvl>
    <w:lvl w:ilvl="4">
      <w:start w:val="431"/>
      <w:numFmt w:val="lowerLetter"/>
      <w:lvlText w:val="%5."/>
      <w:lvlJc w:val="left"/>
      <w:pPr>
        <w:ind w:left="3600" w:hanging="480"/>
      </w:pPr>
    </w:lvl>
    <w:lvl w:ilvl="5">
      <w:start w:val="431"/>
      <w:numFmt w:val="lowerRoman"/>
      <w:lvlText w:val="%6."/>
      <w:lvlJc w:val="left"/>
      <w:pPr>
        <w:ind w:left="4320" w:hanging="480"/>
      </w:pPr>
    </w:lvl>
    <w:lvl w:ilvl="6">
      <w:start w:val="431"/>
      <w:numFmt w:val="decimal"/>
      <w:lvlText w:val="%7."/>
      <w:lvlJc w:val="left"/>
      <w:pPr>
        <w:ind w:left="5040" w:hanging="480"/>
      </w:pPr>
    </w:lvl>
    <w:lvl w:ilvl="7">
      <w:start w:val="431"/>
      <w:numFmt w:val="lowerLetter"/>
      <w:lvlText w:val="%8."/>
      <w:lvlJc w:val="left"/>
      <w:pPr>
        <w:ind w:left="5760" w:hanging="480"/>
      </w:pPr>
    </w:lvl>
    <w:lvl w:ilvl="8">
      <w:start w:val="431"/>
      <w:numFmt w:val="lowerRoman"/>
      <w:lvlText w:val="%9."/>
      <w:lvlJc w:val="left"/>
      <w:pPr>
        <w:ind w:left="6480" w:hanging="480"/>
      </w:pPr>
    </w:lvl>
  </w:abstractNum>
  <w:abstractNum w:abstractNumId="9920433">
    <w:nsid w:val="A9920433"/>
    <w:multiLevelType w:val="multilevel"/>
    <w:lvl w:ilvl="0">
      <w:start w:val="433"/>
      <w:numFmt w:val="decimal"/>
      <w:lvlText w:val="%1."/>
      <w:lvlJc w:val="left"/>
      <w:pPr>
        <w:ind w:left="720" w:hanging="480"/>
      </w:pPr>
    </w:lvl>
    <w:lvl w:ilvl="1">
      <w:start w:val="433"/>
      <w:numFmt w:val="lowerLetter"/>
      <w:lvlText w:val="%2."/>
      <w:lvlJc w:val="left"/>
      <w:pPr>
        <w:ind w:left="1440" w:hanging="480"/>
      </w:pPr>
    </w:lvl>
    <w:lvl w:ilvl="2">
      <w:start w:val="433"/>
      <w:numFmt w:val="lowerRoman"/>
      <w:lvlText w:val="%3."/>
      <w:lvlJc w:val="left"/>
      <w:pPr>
        <w:ind w:left="2160" w:hanging="480"/>
      </w:pPr>
    </w:lvl>
    <w:lvl w:ilvl="3">
      <w:start w:val="433"/>
      <w:numFmt w:val="decimal"/>
      <w:lvlText w:val="%4."/>
      <w:lvlJc w:val="left"/>
      <w:pPr>
        <w:ind w:left="2880" w:hanging="480"/>
      </w:pPr>
    </w:lvl>
    <w:lvl w:ilvl="4">
      <w:start w:val="433"/>
      <w:numFmt w:val="lowerLetter"/>
      <w:lvlText w:val="%5."/>
      <w:lvlJc w:val="left"/>
      <w:pPr>
        <w:ind w:left="3600" w:hanging="480"/>
      </w:pPr>
    </w:lvl>
    <w:lvl w:ilvl="5">
      <w:start w:val="433"/>
      <w:numFmt w:val="lowerRoman"/>
      <w:lvlText w:val="%6."/>
      <w:lvlJc w:val="left"/>
      <w:pPr>
        <w:ind w:left="4320" w:hanging="480"/>
      </w:pPr>
    </w:lvl>
    <w:lvl w:ilvl="6">
      <w:start w:val="433"/>
      <w:numFmt w:val="decimal"/>
      <w:lvlText w:val="%7."/>
      <w:lvlJc w:val="left"/>
      <w:pPr>
        <w:ind w:left="5040" w:hanging="480"/>
      </w:pPr>
    </w:lvl>
    <w:lvl w:ilvl="7">
      <w:start w:val="433"/>
      <w:numFmt w:val="lowerLetter"/>
      <w:lvlText w:val="%8."/>
      <w:lvlJc w:val="left"/>
      <w:pPr>
        <w:ind w:left="5760" w:hanging="480"/>
      </w:pPr>
    </w:lvl>
    <w:lvl w:ilvl="8">
      <w:start w:val="433"/>
      <w:numFmt w:val="lowerRoman"/>
      <w:lvlText w:val="%9."/>
      <w:lvlJc w:val="left"/>
      <w:pPr>
        <w:ind w:left="6480" w:hanging="480"/>
      </w:pPr>
    </w:lvl>
  </w:abstractNum>
  <w:num w:numId="1000">
    <w:abstractNumId w:val="990"/>
  </w:num>
  <w:num w:numId="1001">
    <w:abstractNumId w:val="9920422"/>
    <w:lvlOverride w:ilvl="0">
      <w:startOverride w:val="422"/>
    </w:lvlOverride>
    <w:lvlOverride w:ilvl="1">
      <w:startOverride w:val="422"/>
    </w:lvlOverride>
    <w:lvlOverride w:ilvl="2">
      <w:startOverride w:val="422"/>
    </w:lvlOverride>
    <w:lvlOverride w:ilvl="3">
      <w:startOverride w:val="422"/>
    </w:lvlOverride>
    <w:lvlOverride w:ilvl="4">
      <w:startOverride w:val="422"/>
    </w:lvlOverride>
    <w:lvlOverride w:ilvl="5">
      <w:startOverride w:val="422"/>
    </w:lvlOverride>
    <w:lvlOverride w:ilvl="6">
      <w:startOverride w:val="422"/>
    </w:lvlOverride>
    <w:lvlOverride w:ilvl="7">
      <w:startOverride w:val="422"/>
    </w:lvlOverride>
    <w:lvlOverride w:ilvl="8">
      <w:startOverride w:val="422"/>
    </w:lvlOverride>
  </w:num>
  <w:num w:numId="1002">
    <w:abstractNumId w:val="9920423"/>
    <w:lvlOverride w:ilvl="0">
      <w:startOverride w:val="423"/>
    </w:lvlOverride>
    <w:lvlOverride w:ilvl="1">
      <w:startOverride w:val="423"/>
    </w:lvlOverride>
    <w:lvlOverride w:ilvl="2">
      <w:startOverride w:val="423"/>
    </w:lvlOverride>
    <w:lvlOverride w:ilvl="3">
      <w:startOverride w:val="423"/>
    </w:lvlOverride>
    <w:lvlOverride w:ilvl="4">
      <w:startOverride w:val="423"/>
    </w:lvlOverride>
    <w:lvlOverride w:ilvl="5">
      <w:startOverride w:val="423"/>
    </w:lvlOverride>
    <w:lvlOverride w:ilvl="6">
      <w:startOverride w:val="423"/>
    </w:lvlOverride>
    <w:lvlOverride w:ilvl="7">
      <w:startOverride w:val="423"/>
    </w:lvlOverride>
    <w:lvlOverride w:ilvl="8">
      <w:startOverride w:val="423"/>
    </w:lvlOverride>
  </w:num>
  <w:num w:numId="1003">
    <w:abstractNumId w:val="9920424"/>
    <w:lvlOverride w:ilvl="0">
      <w:startOverride w:val="424"/>
    </w:lvlOverride>
    <w:lvlOverride w:ilvl="1">
      <w:startOverride w:val="424"/>
    </w:lvlOverride>
    <w:lvlOverride w:ilvl="2">
      <w:startOverride w:val="424"/>
    </w:lvlOverride>
    <w:lvlOverride w:ilvl="3">
      <w:startOverride w:val="424"/>
    </w:lvlOverride>
    <w:lvlOverride w:ilvl="4">
      <w:startOverride w:val="424"/>
    </w:lvlOverride>
    <w:lvlOverride w:ilvl="5">
      <w:startOverride w:val="424"/>
    </w:lvlOverride>
    <w:lvlOverride w:ilvl="6">
      <w:startOverride w:val="424"/>
    </w:lvlOverride>
    <w:lvlOverride w:ilvl="7">
      <w:startOverride w:val="424"/>
    </w:lvlOverride>
    <w:lvlOverride w:ilvl="8">
      <w:startOverride w:val="424"/>
    </w:lvlOverride>
  </w:num>
  <w:num w:numId="1004">
    <w:abstractNumId w:val="9920425"/>
    <w:lvlOverride w:ilvl="0">
      <w:startOverride w:val="425"/>
    </w:lvlOverride>
    <w:lvlOverride w:ilvl="1">
      <w:startOverride w:val="425"/>
    </w:lvlOverride>
    <w:lvlOverride w:ilvl="2">
      <w:startOverride w:val="425"/>
    </w:lvlOverride>
    <w:lvlOverride w:ilvl="3">
      <w:startOverride w:val="425"/>
    </w:lvlOverride>
    <w:lvlOverride w:ilvl="4">
      <w:startOverride w:val="425"/>
    </w:lvlOverride>
    <w:lvlOverride w:ilvl="5">
      <w:startOverride w:val="425"/>
    </w:lvlOverride>
    <w:lvlOverride w:ilvl="6">
      <w:startOverride w:val="425"/>
    </w:lvlOverride>
    <w:lvlOverride w:ilvl="7">
      <w:startOverride w:val="425"/>
    </w:lvlOverride>
    <w:lvlOverride w:ilvl="8">
      <w:startOverride w:val="425"/>
    </w:lvlOverride>
  </w:num>
  <w:num w:numId="1005">
    <w:abstractNumId w:val="9920431"/>
    <w:lvlOverride w:ilvl="0">
      <w:startOverride w:val="431"/>
    </w:lvlOverride>
    <w:lvlOverride w:ilvl="1">
      <w:startOverride w:val="431"/>
    </w:lvlOverride>
    <w:lvlOverride w:ilvl="2">
      <w:startOverride w:val="431"/>
    </w:lvlOverride>
    <w:lvlOverride w:ilvl="3">
      <w:startOverride w:val="431"/>
    </w:lvlOverride>
    <w:lvlOverride w:ilvl="4">
      <w:startOverride w:val="431"/>
    </w:lvlOverride>
    <w:lvlOverride w:ilvl="5">
      <w:startOverride w:val="431"/>
    </w:lvlOverride>
    <w:lvlOverride w:ilvl="6">
      <w:startOverride w:val="431"/>
    </w:lvlOverride>
    <w:lvlOverride w:ilvl="7">
      <w:startOverride w:val="431"/>
    </w:lvlOverride>
    <w:lvlOverride w:ilvl="8">
      <w:startOverride w:val="431"/>
    </w:lvlOverride>
  </w:num>
  <w:num w:numId="1006">
    <w:abstractNumId w:val="9920433"/>
    <w:lvlOverride w:ilvl="0">
      <w:startOverride w:val="433"/>
    </w:lvlOverride>
    <w:lvlOverride w:ilvl="1">
      <w:startOverride w:val="433"/>
    </w:lvlOverride>
    <w:lvlOverride w:ilvl="2">
      <w:startOverride w:val="433"/>
    </w:lvlOverride>
    <w:lvlOverride w:ilvl="3">
      <w:startOverride w:val="433"/>
    </w:lvlOverride>
    <w:lvlOverride w:ilvl="4">
      <w:startOverride w:val="433"/>
    </w:lvlOverride>
    <w:lvlOverride w:ilvl="5">
      <w:startOverride w:val="433"/>
    </w:lvlOverride>
    <w:lvlOverride w:ilvl="6">
      <w:startOverride w:val="433"/>
    </w:lvlOverride>
    <w:lvlOverride w:ilvl="7">
      <w:startOverride w:val="433"/>
    </w:lvlOverride>
    <w:lvlOverride w:ilvl="8">
      <w:startOverride w:val="43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2026-08-18T01:07:28Z</dcterms:created>
  <dcterms:modified xsi:type="dcterms:W3CDTF">2026-08-18T01:07:28Z</dcterms:modified>
</cp:coreProperties>
</file>

<file path=docProps/custom.xml><?xml version="1.0" encoding="utf-8"?>
<Properties xmlns="http://schemas.openxmlformats.org/officeDocument/2006/custom-properties" xmlns:vt="http://schemas.openxmlformats.org/officeDocument/2006/docPropsVTypes"/>
</file>