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32eca220fa28f9d75065beb8d1b10ca0364b73a"/>
    <w:p>
      <w:pPr>
        <w:pStyle w:val="Heading1"/>
      </w:pPr>
      <w:r>
        <w:t xml:space="preserve">Soirées chrétiennes — Explication du catéchisme: les pasteurs légitimes (</w:t>
      </w:r>
      <w:r>
        <w:rPr>
          <w:iCs/>
          <w:i/>
        </w:rPr>
        <w:t xml:space="preserve">Christian Evenings — Explanation of the Catechism: legitimate pastors</w:t>
      </w:r>
      <w:r>
        <w:t xml:space="preserve">)</w:t>
      </w:r>
    </w:p>
    <w:p>
      <w:pPr>
        <w:pStyle w:val="FirstParagraph"/>
      </w:pPr>
      <w:r>
        <w:rPr>
          <w:bCs/>
          <w:b/>
        </w:rPr>
        <w:t xml:space="preserve">by Abbé Gridel; third edition, 1861, with the approval of the Bishop of Nancy</w:t>
      </w:r>
    </w:p>
    <w:p>
      <w:pPr>
        <w:pStyle w:val="BodyText"/>
      </w:pPr>
      <w:hyperlink r:id="rId20">
        <w:r>
          <w:rPr>
            <w:rStyle w:val="Hyperlink"/>
          </w:rPr>
          <w:t xml:space="preserve">Online Location of Text Here</w:t>
        </w:r>
      </w:hyperlink>
    </w:p>
    <w:p>
      <w:pPr>
        <w:numPr>
          <w:ilvl w:val="0"/>
          <w:numId w:val="1001"/>
        </w:numPr>
      </w:pPr>
      <w:r>
        <w:rPr>
          <w:iCs/>
          <w:i/>
        </w:rPr>
        <w:t xml:space="preserve">French text from the Google Books scan of the third edition (1861), pp. 252–253; running title</w:t>
      </w:r>
      <w:r>
        <w:rPr>
          <w:iCs/>
          <w:i/>
        </w:rPr>
        <w:t xml:space="preserve"> </w:t>
      </w:r>
      <w:r>
        <w:rPr>
          <w:iCs/>
          <w:i/>
        </w:rPr>
        <w:t xml:space="preserve">“</w:t>
      </w:r>
      <w:r>
        <w:rPr>
          <w:iCs/>
          <w:i/>
        </w:rPr>
        <w:t xml:space="preserve">Soirées chrétiennes.</w:t>
      </w:r>
      <w:r>
        <w:rPr>
          <w:iCs/>
          <w:i/>
        </w:rPr>
        <w:t xml:space="preserve">”</w:t>
      </w:r>
      <w:r>
        <w:rPr>
          <w:iCs/>
          <w:i/>
        </w:rPr>
        <w:t xml:space="preserve"> </w:t>
      </w:r>
      <w:r>
        <w:rPr>
          <w:iCs/>
          <w:i/>
        </w:rPr>
        <w:t xml:space="preserve">OCR corrected against the page images.</w:t>
      </w:r>
    </w:p>
    <w:p>
      <w:pPr>
        <w:numPr>
          <w:ilvl w:val="0"/>
          <w:numId w:val="1001"/>
        </w:numPr>
      </w:pPr>
      <w:r>
        <w:rPr>
          <w:iCs/>
          <w:i/>
        </w:rPr>
        <w:t xml:space="preserve">Translation of the original text performed by AI (claude-fable-5).</w:t>
      </w:r>
    </w:p>
    <w:p>
      <w:pPr>
        <w:numPr>
          <w:ilvl w:val="0"/>
          <w:numId w:val="1001"/>
        </w:numPr>
      </w:pPr>
      <w:r>
        <w:rPr>
          <w:iCs/>
          <w:i/>
        </w:rPr>
        <w:t xml:space="preserve">Last Edit: July 5, 2026.</w:t>
      </w:r>
    </w:p>
    <w:p>
      <w:pPr>
        <w:numPr>
          <w:ilvl w:val="0"/>
          <w:numId w:val="1001"/>
        </w:numPr>
      </w:pPr>
      <w:r>
        <w:rPr>
          <w:iCs/>
          <w:i/>
        </w:rPr>
        <w:t xml:space="preserve">Version: 1.0</w:t>
      </w:r>
    </w:p>
    <w:p>
      <w:pPr>
        <w:numPr>
          <w:ilvl w:val="0"/>
          <w:numId w:val="1001"/>
        </w:numPr>
      </w:pPr>
      <w:r>
        <w:rPr>
          <w:iCs/>
          <w:i/>
        </w:rPr>
        <w:t xml:space="preserve">Selection pages: 252-253 (chapter on the Ninth Article,</w:t>
      </w:r>
      <w:r>
        <w:rPr>
          <w:iCs/>
          <w:i/>
        </w:rPr>
        <w:t xml:space="preserve"> </w:t>
      </w:r>
      <w:r>
        <w:rPr>
          <w:iCs/>
          <w:i/>
        </w:rPr>
        <w:t xml:space="preserve">“</w:t>
      </w:r>
      <w:r>
        <w:rPr>
          <w:iCs/>
          <w:i/>
        </w:rPr>
        <w:t xml:space="preserve">Le Saint-Esprit</w:t>
      </w:r>
      <w:r>
        <w:rPr>
          <w:iCs/>
          <w:i/>
        </w:rPr>
        <w:t xml:space="preserve">”</w:t>
      </w:r>
      <w:r>
        <w:rPr>
          <w:iCs/>
          <w:i/>
        </w:rPr>
        <w:t xml:space="preserve"> </w:t>
      </w:r>
      <w:r>
        <w:rPr>
          <w:iCs/>
          <w:i/>
        </w:rPr>
        <w:t xml:space="preserve">/ the Church)</w:t>
      </w:r>
    </w:p>
    <w:bookmarkStart w:id="21" w:name="X80624787829e38ba190900259bbdcecade168de"/>
    <w:p>
      <w:pPr>
        <w:pStyle w:val="Heading2"/>
      </w:pPr>
      <w:r>
        <w:t xml:space="preserve">The Holy Spirit — The Church: legitimate pastors (pp. 252–253)</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French (1861)</w:t>
            </w:r>
          </w:p>
        </w:tc>
        <w:tc>
          <w:tcPr/>
          <w:p>
            <w:pPr>
              <w:pStyle w:val="Compact"/>
            </w:pPr>
          </w:p>
        </w:tc>
        <w:tc>
          <w:tcPr/>
          <w:p>
            <w:pPr>
              <w:pStyle w:val="Compact"/>
              <w:jc w:val="left"/>
            </w:pPr>
            <w:r>
              <w:rPr>
                <w:iCs/>
                <w:i/>
              </w:rPr>
              <w:t xml:space="preserve">English</w:t>
            </w:r>
          </w:p>
        </w:tc>
      </w:tr>
      <w:tr>
        <w:tc>
          <w:tcPr/>
          <w:p>
            <w:pPr>
              <w:pStyle w:val="Compact"/>
              <w:jc w:val="left"/>
            </w:pPr>
            <w:r>
              <w:t xml:space="preserve">Pourquoi dites-vous : sous la conduite des pasteurs légitimes ? — Parce que dans l’Église, comme dans toute société, il faut des chefs et des chefs légitimes auxquels tous les hommes sont tenus d’obéir, et que celui qui repousse l’autorité des chefs ne peut être membre de la société. — Pourquoi dites-vous : des pasteurs légitimes, et non pas : des pasteurs en général ? — Parce que dans l’Église, comme dans toute société, l’on ne doit obéissance qu’aux supérieurs institués suivant la constitution fondamentale de cette société. — Pourquoi appelez-vous pasteurs les chefs de l’Église ? — Parce que l’Église est comme un troupeau de brebis dont Jésus-Christ est le chef ou le souverain pasteur. Or, de même que des brebis incapables de se diriger elles-mêmes ont besoin d’un pasteur pour les conduire et les défendre, ainsi les fidèles, ne pouvant se conduire ni se défendre par eux-mêmes, ont besoin de chefs ou de pasteurs pour les diriger et les empêcher de périr.</w:t>
            </w:r>
          </w:p>
        </w:tc>
        <w:tc>
          <w:tcPr/>
          <w:p>
            <w:pPr>
              <w:pStyle w:val="Compact"/>
            </w:pPr>
          </w:p>
        </w:tc>
        <w:tc>
          <w:tcPr/>
          <w:p>
            <w:pPr>
              <w:pStyle w:val="Compact"/>
              <w:jc w:val="left"/>
            </w:pPr>
            <w:r>
              <w:t xml:space="preserve">Why do you say: under the guidance of legitimate pastors? — Because in the Church, as in every society, there must be heads, and legitimate heads, whom all men are bound to obey; and he who rejects the authority of the heads cannot be a member of the society. — Why do you say: legitimate pastors, and not: pastors in general? — Because in the Church, as in every society, obedience is owed only to superiors instituted according to the fundamental constitution of that society. — Why do you call the heads of the Church pastors? — Because the Church is like a flock of sheep whose head, or sovereign shepherd, is Jesus Christ. Now, just as sheep, incapable of guiding themselves, need a shepherd to lead and defend them, so the faithful, unable to guide or defend themselves, need heads or pastors to direct them and keep them from perishing.</w:t>
            </w:r>
          </w:p>
        </w:tc>
      </w:tr>
      <w:tr>
        <w:tc>
          <w:tcPr/>
          <w:p>
            <w:pPr>
              <w:pStyle w:val="Compact"/>
              <w:jc w:val="left"/>
            </w:pPr>
            <w:r>
              <w:t xml:space="preserve">Comment un chrétien ignorant peut-il savoir que le Pape, son évêque diocésain et son curé sont pasteurs légitimes ? — Il le sait par le fait même de leur institution. Quand un Pape meurt, les cardinaux en élisent un autre qui, par son élection, devient Pape légitime. S’il n’était pas tel, le corps des pasteurs ne le reconnaîtrait pas pour chef de l’Église. Donc, si un fidèle n’entend aucune réclamation de ses pasteurs contre le Pape, il doit le tenir pour légitime.</w:t>
            </w:r>
          </w:p>
        </w:tc>
        <w:tc>
          <w:tcPr/>
          <w:p>
            <w:pPr>
              <w:pStyle w:val="Compact"/>
            </w:pPr>
          </w:p>
        </w:tc>
        <w:tc>
          <w:tcPr/>
          <w:p>
            <w:pPr>
              <w:pStyle w:val="Compact"/>
              <w:jc w:val="left"/>
            </w:pPr>
            <w:r>
              <w:t xml:space="preserve">How can an unlearned Christian know that the Pope, his diocesan bishop, and his parish priest are legitimate pastors? — He knows it by the very fact of their institution. When a Pope dies, the cardinals elect another, who by his election becomes the legitimate Pope. If he were not such, the body of the pastors would not recognize him as head of the Church. Therefore, if a member of the faithful hears no protest from his pastors against the Pope, he must hold him for legitimate.</w:t>
            </w:r>
          </w:p>
        </w:tc>
      </w:tr>
      <w:tr>
        <w:tc>
          <w:tcPr/>
          <w:p>
            <w:pPr>
              <w:pStyle w:val="Compact"/>
              <w:jc w:val="left"/>
            </w:pPr>
            <w:r>
              <w:t xml:space="preserve">Pareillement, quand un évêque arrive dans son diocèse, il présente aux prêtres qui assistent à son installation les lettres qui témoignent de la mission qu’il a reçue du Pape, et sans lesquelles ils ne le reconnaîtraient pas pour supérieur légitime. Si donc les prêtres et les laïques instruits ont reçu comme évêque le nouveau pontife, le fidèle peut être certain que celui-ci est pasteur légitime. Il en est de même d’un prêtre qui, en prenant possession de sa paroisse, doit montrer la commission qu’il a reçue de son évêque.</w:t>
            </w:r>
          </w:p>
        </w:tc>
        <w:tc>
          <w:tcPr/>
          <w:p>
            <w:pPr>
              <w:pStyle w:val="Compact"/>
            </w:pPr>
          </w:p>
        </w:tc>
        <w:tc>
          <w:tcPr/>
          <w:p>
            <w:pPr>
              <w:pStyle w:val="Compact"/>
              <w:jc w:val="left"/>
            </w:pPr>
            <w:r>
              <w:t xml:space="preserve">In the same way, when a bishop arrives in his diocese, he presents to the priests assisting at his installation the letters which attest the mission he has received from the Pope, and without which they would not recognize him as their legitimate superior. If therefore the priests and the instructed laity have received the new pontiff as bishop, the faithful man can be certain that he is a legitimate pastor. It is the same with a priest who, on taking possession of his parish, must show the commission he has received from his bishop.</w:t>
            </w:r>
          </w:p>
        </w:tc>
      </w:tr>
      <w:tr>
        <w:tc>
          <w:tcPr/>
          <w:p>
            <w:pPr>
              <w:pStyle w:val="Compact"/>
              <w:jc w:val="left"/>
            </w:pPr>
            <w:r>
              <w:t xml:space="preserve">Donc tout catholique peut connaître d’une manière certaine si son pasteur est légitime. Pour être certain que lui-même est membre de l’Église, il suffit qu’il se puisse dire : Je suis uni à mon curé, mon curé est uni à son évêque, et mon évêque est uni au Pape. Or, comme nous venons de le dire, il peut toujours facilement s’assurer de ces trois faits.</w:t>
            </w:r>
          </w:p>
        </w:tc>
        <w:tc>
          <w:tcPr/>
          <w:p>
            <w:pPr>
              <w:pStyle w:val="Compact"/>
            </w:pPr>
          </w:p>
        </w:tc>
        <w:tc>
          <w:tcPr/>
          <w:p>
            <w:pPr>
              <w:pStyle w:val="Compact"/>
              <w:jc w:val="left"/>
            </w:pPr>
            <w:r>
              <w:t xml:space="preserve">Therefore every Catholic can know in a certain manner whether his pastor is legitimate. To be certain that he himself is a member of the Church, it is enough that he can say to himself: I am united to my parish priest; my parish priest is united to his bishop; and my bishop is united to the Pope. Now, as we have just said, he can always easily assure himself of these three facts.</w:t>
            </w:r>
          </w:p>
        </w:tc>
      </w:tr>
    </w:tbl>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archidiacre.wordpress.com/2020/11/11/acceptation-pacifique-universelle-dun-pape/" TargetMode="External" /></Relationships>
</file>

<file path=word/_rels/footnotes.xml.rels><?xml version="1.0" encoding="UTF-8"?><Relationships xmlns="http://schemas.openxmlformats.org/package/2006/relationships"><Relationship Type="http://schemas.openxmlformats.org/officeDocument/2006/relationships/hyperlink" Id="rId20" Target="https://archidiacre.wordpress.com/2020/11/11/acceptation-pacifique-universelle-dun-pa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2026-07-05T12:06:53Z</dcterms:created>
  <dcterms:modified xsi:type="dcterms:W3CDTF">2026-07-05T12:06:53Z</dcterms:modified>
</cp:coreProperties>
</file>

<file path=docProps/custom.xml><?xml version="1.0" encoding="utf-8"?>
<Properties xmlns="http://schemas.openxmlformats.org/officeDocument/2006/custom-properties" xmlns:vt="http://schemas.openxmlformats.org/officeDocument/2006/docPropsVTypes"/>
</file>